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99B39" w14:textId="77777777" w:rsidR="00875D23" w:rsidRPr="009C0E04" w:rsidRDefault="00875D23" w:rsidP="002D6BC8">
      <w:pPr>
        <w:spacing w:line="360" w:lineRule="auto"/>
        <w:jc w:val="both"/>
        <w:rPr>
          <w:rFonts w:ascii="Arial" w:hAnsi="Arial" w:cs="Arial"/>
          <w:b/>
          <w:color w:val="1F497D"/>
          <w:sz w:val="28"/>
          <w:szCs w:val="24"/>
        </w:rPr>
      </w:pPr>
      <w:bookmarkStart w:id="0" w:name="_GoBack"/>
      <w:bookmarkEnd w:id="0"/>
      <w:r w:rsidRPr="009C0E04">
        <w:rPr>
          <w:rFonts w:ascii="Arial" w:hAnsi="Arial" w:cs="Arial"/>
          <w:b/>
          <w:color w:val="1F497D"/>
          <w:sz w:val="28"/>
          <w:szCs w:val="24"/>
        </w:rPr>
        <w:t>Hirnmetastasen – interdisziplinär zur personalisierten Behandlung</w:t>
      </w:r>
    </w:p>
    <w:p w14:paraId="4873C21C" w14:textId="14823BEA" w:rsidR="00A218CC" w:rsidRPr="00A016ED" w:rsidRDefault="00A218CC"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r>
        <w:rPr>
          <w:color w:val="000000"/>
          <w:lang w:val="de-AT" w:eastAsia="de-AT"/>
        </w:rPr>
        <w:t>Grau S.</w:t>
      </w:r>
      <w:r w:rsidR="00A016ED" w:rsidRPr="00A016ED">
        <w:rPr>
          <w:color w:val="000000"/>
          <w:vertAlign w:val="superscript"/>
          <w:lang w:val="de-AT" w:eastAsia="de-AT"/>
        </w:rPr>
        <w:t>1,10</w:t>
      </w:r>
      <w:r w:rsidR="00A016ED">
        <w:rPr>
          <w:color w:val="000000"/>
          <w:lang w:val="de-AT" w:eastAsia="de-AT"/>
        </w:rPr>
        <w:t>, Herling</w:t>
      </w:r>
      <w:r>
        <w:rPr>
          <w:color w:val="000000"/>
          <w:lang w:val="de-AT" w:eastAsia="de-AT"/>
        </w:rPr>
        <w:t xml:space="preserve"> M.</w:t>
      </w:r>
      <w:r w:rsidR="00A016ED" w:rsidRPr="00A016ED">
        <w:rPr>
          <w:color w:val="000000"/>
          <w:vertAlign w:val="superscript"/>
          <w:lang w:val="de-AT" w:eastAsia="de-AT"/>
        </w:rPr>
        <w:t>2,10</w:t>
      </w:r>
      <w:r>
        <w:rPr>
          <w:color w:val="000000"/>
          <w:lang w:val="de-AT" w:eastAsia="de-AT"/>
        </w:rPr>
        <w:t>, Mauch C.</w:t>
      </w:r>
      <w:r w:rsidR="00A016ED" w:rsidRPr="00A016ED">
        <w:rPr>
          <w:color w:val="000000"/>
          <w:vertAlign w:val="superscript"/>
          <w:lang w:val="de-AT" w:eastAsia="de-AT"/>
        </w:rPr>
        <w:t>3,10</w:t>
      </w:r>
      <w:r>
        <w:rPr>
          <w:color w:val="000000"/>
          <w:lang w:val="de-AT" w:eastAsia="de-AT"/>
        </w:rPr>
        <w:t>, Galldiks N.</w:t>
      </w:r>
      <w:r w:rsidR="00A016ED" w:rsidRPr="00A016ED">
        <w:rPr>
          <w:color w:val="000000"/>
          <w:vertAlign w:val="superscript"/>
          <w:lang w:val="de-AT" w:eastAsia="de-AT"/>
        </w:rPr>
        <w:t>4,10</w:t>
      </w:r>
      <w:r>
        <w:rPr>
          <w:color w:val="000000"/>
          <w:lang w:val="de-AT" w:eastAsia="de-AT"/>
        </w:rPr>
        <w:t>, Golla H.</w:t>
      </w:r>
      <w:r w:rsidR="00A016ED" w:rsidRPr="00A016ED">
        <w:rPr>
          <w:color w:val="000000"/>
          <w:vertAlign w:val="superscript"/>
          <w:lang w:val="de-AT" w:eastAsia="de-AT"/>
        </w:rPr>
        <w:t>5,10</w:t>
      </w:r>
      <w:r>
        <w:rPr>
          <w:color w:val="000000"/>
          <w:lang w:val="de-AT" w:eastAsia="de-AT"/>
        </w:rPr>
        <w:t>, Schlamann M.</w:t>
      </w:r>
      <w:r w:rsidR="00A016ED" w:rsidRPr="00A016ED">
        <w:rPr>
          <w:color w:val="000000"/>
          <w:vertAlign w:val="superscript"/>
          <w:lang w:val="de-AT" w:eastAsia="de-AT"/>
        </w:rPr>
        <w:t>6</w:t>
      </w:r>
      <w:r>
        <w:rPr>
          <w:color w:val="000000"/>
          <w:lang w:val="de-AT" w:eastAsia="de-AT"/>
        </w:rPr>
        <w:t xml:space="preserve">, </w:t>
      </w:r>
      <w:r w:rsidR="00BB2900">
        <w:rPr>
          <w:color w:val="000000"/>
          <w:lang w:val="de-AT" w:eastAsia="de-AT"/>
        </w:rPr>
        <w:t>Scheel A</w:t>
      </w:r>
      <w:r>
        <w:rPr>
          <w:color w:val="000000"/>
          <w:lang w:val="de-AT" w:eastAsia="de-AT"/>
        </w:rPr>
        <w:t>.</w:t>
      </w:r>
      <w:r w:rsidR="00A016ED" w:rsidRPr="00A016ED">
        <w:rPr>
          <w:color w:val="000000"/>
          <w:vertAlign w:val="superscript"/>
          <w:lang w:val="de-AT" w:eastAsia="de-AT"/>
        </w:rPr>
        <w:t>7,10</w:t>
      </w:r>
      <w:r>
        <w:rPr>
          <w:color w:val="000000"/>
          <w:lang w:val="de-AT" w:eastAsia="de-AT"/>
        </w:rPr>
        <w:t xml:space="preserve">, Celik </w:t>
      </w:r>
      <w:r w:rsidRPr="00A016ED">
        <w:rPr>
          <w:color w:val="000000"/>
          <w:lang w:val="de-DE" w:eastAsia="de-AT"/>
        </w:rPr>
        <w:t>E.</w:t>
      </w:r>
      <w:r w:rsidR="00A016ED" w:rsidRPr="00A016ED">
        <w:rPr>
          <w:color w:val="000000"/>
          <w:vertAlign w:val="superscript"/>
          <w:lang w:val="de-DE" w:eastAsia="de-AT"/>
        </w:rPr>
        <w:t>8,10</w:t>
      </w:r>
      <w:r w:rsidRPr="00A016ED">
        <w:rPr>
          <w:color w:val="000000"/>
          <w:lang w:val="de-DE" w:eastAsia="de-AT"/>
        </w:rPr>
        <w:t>, Ruge M.</w:t>
      </w:r>
      <w:r w:rsidR="00A016ED" w:rsidRPr="00A016ED">
        <w:rPr>
          <w:color w:val="000000"/>
          <w:vertAlign w:val="superscript"/>
          <w:lang w:val="de-DE" w:eastAsia="de-AT"/>
        </w:rPr>
        <w:t>9,10</w:t>
      </w:r>
      <w:r w:rsidRPr="00A016ED">
        <w:rPr>
          <w:color w:val="000000"/>
          <w:lang w:val="de-DE" w:eastAsia="de-AT"/>
        </w:rPr>
        <w:t>, Goldbrunner R.</w:t>
      </w:r>
      <w:r w:rsidR="00A016ED" w:rsidRPr="00A016ED">
        <w:rPr>
          <w:color w:val="000000"/>
          <w:vertAlign w:val="superscript"/>
          <w:lang w:val="de-DE" w:eastAsia="de-AT"/>
        </w:rPr>
        <w:t>1,10</w:t>
      </w:r>
      <w:r w:rsidRPr="00A016ED">
        <w:rPr>
          <w:color w:val="000000"/>
          <w:lang w:val="de-DE" w:eastAsia="de-AT"/>
        </w:rPr>
        <w:t xml:space="preserve"> </w:t>
      </w:r>
    </w:p>
    <w:p w14:paraId="1134DAF8" w14:textId="33C1181D" w:rsidR="00A218CC" w:rsidRPr="00A016ED" w:rsidRDefault="00A218CC"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p>
    <w:p w14:paraId="6CE1364F" w14:textId="1CEE625A" w:rsidR="00A218CC" w:rsidRPr="00BB2900" w:rsidRDefault="009C0E04"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r w:rsidRPr="00BB2900">
        <w:rPr>
          <w:color w:val="000000"/>
          <w:lang w:val="de-DE" w:eastAsia="de-AT"/>
        </w:rPr>
        <w:t>Klinikum der Universität Köln</w:t>
      </w:r>
      <w:r w:rsidR="00A016ED" w:rsidRPr="00BB2900">
        <w:rPr>
          <w:color w:val="000000"/>
          <w:lang w:val="de-DE" w:eastAsia="de-AT"/>
        </w:rPr>
        <w:t xml:space="preserve">, </w:t>
      </w:r>
    </w:p>
    <w:p w14:paraId="7ED3F430" w14:textId="632D3D59" w:rsidR="00A016ED" w:rsidRPr="009C0E04" w:rsidRDefault="00A016ED" w:rsidP="00A016ED">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r w:rsidRPr="009C0E04">
        <w:rPr>
          <w:color w:val="000000"/>
          <w:vertAlign w:val="superscript"/>
          <w:lang w:val="de-DE" w:eastAsia="de-AT"/>
        </w:rPr>
        <w:t>1</w:t>
      </w:r>
      <w:r w:rsidR="009C0E04" w:rsidRPr="009C0E04">
        <w:rPr>
          <w:color w:val="000000"/>
          <w:lang w:val="de-DE" w:eastAsia="de-AT"/>
        </w:rPr>
        <w:t>Klinik für Allgemeine Neurochirurgie</w:t>
      </w:r>
      <w:r w:rsidRPr="009C0E04">
        <w:rPr>
          <w:color w:val="000000"/>
          <w:lang w:val="de-DE" w:eastAsia="de-AT"/>
        </w:rPr>
        <w:t xml:space="preserve">; </w:t>
      </w:r>
      <w:r w:rsidRPr="009C0E04">
        <w:rPr>
          <w:color w:val="000000"/>
          <w:vertAlign w:val="superscript"/>
          <w:lang w:val="de-DE" w:eastAsia="de-AT"/>
        </w:rPr>
        <w:t>2</w:t>
      </w:r>
      <w:r w:rsidR="009C0E04" w:rsidRPr="009C0E04">
        <w:rPr>
          <w:color w:val="000000"/>
          <w:lang w:val="de-DE" w:eastAsia="de-AT"/>
        </w:rPr>
        <w:t>Klinik I für Innere Medizin</w:t>
      </w:r>
      <w:r w:rsidRPr="009C0E04">
        <w:rPr>
          <w:color w:val="000000"/>
          <w:lang w:val="de-DE" w:eastAsia="de-AT"/>
        </w:rPr>
        <w:t xml:space="preserve">; </w:t>
      </w:r>
      <w:r w:rsidRPr="009C0E04">
        <w:rPr>
          <w:color w:val="000000"/>
          <w:vertAlign w:val="superscript"/>
          <w:lang w:val="de-DE" w:eastAsia="de-AT"/>
        </w:rPr>
        <w:t>3</w:t>
      </w:r>
      <w:r w:rsidR="009C0E04" w:rsidRPr="009C0E04">
        <w:rPr>
          <w:color w:val="000000"/>
          <w:lang w:val="de-DE" w:eastAsia="de-AT"/>
        </w:rPr>
        <w:t xml:space="preserve">Klinik für </w:t>
      </w:r>
      <w:r w:rsidR="00A218CC" w:rsidRPr="009C0E04">
        <w:rPr>
          <w:color w:val="000000"/>
          <w:lang w:val="de-DE" w:eastAsia="de-AT"/>
        </w:rPr>
        <w:t>Dermatolog</w:t>
      </w:r>
      <w:r w:rsidR="009C0E04" w:rsidRPr="009C0E04">
        <w:rPr>
          <w:color w:val="000000"/>
          <w:lang w:val="de-DE" w:eastAsia="de-AT"/>
        </w:rPr>
        <w:t>ie</w:t>
      </w:r>
      <w:r w:rsidRPr="009C0E04">
        <w:rPr>
          <w:color w:val="000000"/>
          <w:lang w:val="de-DE" w:eastAsia="de-AT"/>
        </w:rPr>
        <w:t xml:space="preserve">; </w:t>
      </w:r>
      <w:r w:rsidRPr="009C0E04">
        <w:rPr>
          <w:color w:val="000000"/>
          <w:vertAlign w:val="superscript"/>
          <w:lang w:val="de-DE" w:eastAsia="de-AT"/>
        </w:rPr>
        <w:t>4</w:t>
      </w:r>
      <w:r w:rsidR="009C0E04" w:rsidRPr="009C0E04">
        <w:rPr>
          <w:color w:val="000000"/>
          <w:lang w:val="de-DE" w:eastAsia="de-AT"/>
        </w:rPr>
        <w:t>Klinik für Palliativmedizin</w:t>
      </w:r>
      <w:r w:rsidRPr="009C0E04">
        <w:rPr>
          <w:color w:val="000000"/>
          <w:lang w:val="de-DE" w:eastAsia="de-AT"/>
        </w:rPr>
        <w:t xml:space="preserve">; </w:t>
      </w:r>
      <w:r w:rsidRPr="009C0E04">
        <w:rPr>
          <w:color w:val="000000"/>
          <w:vertAlign w:val="superscript"/>
          <w:lang w:val="de-DE" w:eastAsia="de-AT"/>
        </w:rPr>
        <w:t>5</w:t>
      </w:r>
      <w:r w:rsidR="009C0E04" w:rsidRPr="009C0E04">
        <w:rPr>
          <w:color w:val="000000"/>
          <w:lang w:val="de-DE" w:eastAsia="de-AT"/>
        </w:rPr>
        <w:t xml:space="preserve">Institut für </w:t>
      </w:r>
      <w:r w:rsidR="009C0E04">
        <w:rPr>
          <w:color w:val="000000"/>
          <w:lang w:val="de-DE" w:eastAsia="de-AT"/>
        </w:rPr>
        <w:t>Radiologie</w:t>
      </w:r>
      <w:r w:rsidRPr="009C0E04">
        <w:rPr>
          <w:color w:val="000000"/>
          <w:lang w:val="de-DE" w:eastAsia="de-AT"/>
        </w:rPr>
        <w:t xml:space="preserve">; </w:t>
      </w:r>
      <w:r w:rsidRPr="009C0E04">
        <w:rPr>
          <w:color w:val="000000"/>
          <w:vertAlign w:val="superscript"/>
          <w:lang w:val="de-DE" w:eastAsia="de-AT"/>
        </w:rPr>
        <w:t>6</w:t>
      </w:r>
      <w:r w:rsidR="009C0E04" w:rsidRPr="009C0E04">
        <w:rPr>
          <w:color w:val="000000"/>
          <w:lang w:val="de-DE" w:eastAsia="de-AT"/>
        </w:rPr>
        <w:t xml:space="preserve">Klinik für </w:t>
      </w:r>
      <w:r w:rsidR="00A218CC" w:rsidRPr="009C0E04">
        <w:rPr>
          <w:color w:val="000000"/>
          <w:lang w:val="de-DE" w:eastAsia="de-AT"/>
        </w:rPr>
        <w:t>Neurolog</w:t>
      </w:r>
      <w:r w:rsidR="009C0E04" w:rsidRPr="009C0E04">
        <w:rPr>
          <w:color w:val="000000"/>
          <w:lang w:val="de-DE" w:eastAsia="de-AT"/>
        </w:rPr>
        <w:t>ie</w:t>
      </w:r>
      <w:r w:rsidRPr="009C0E04">
        <w:rPr>
          <w:color w:val="000000"/>
          <w:lang w:val="de-DE" w:eastAsia="de-AT"/>
        </w:rPr>
        <w:t xml:space="preserve">; </w:t>
      </w:r>
      <w:r w:rsidRPr="009C0E04">
        <w:rPr>
          <w:color w:val="000000"/>
          <w:vertAlign w:val="superscript"/>
          <w:lang w:val="de-DE" w:eastAsia="de-AT"/>
        </w:rPr>
        <w:t>7</w:t>
      </w:r>
      <w:r w:rsidRPr="009C0E04">
        <w:rPr>
          <w:color w:val="000000"/>
          <w:lang w:val="de-DE" w:eastAsia="de-AT"/>
        </w:rPr>
        <w:t xml:space="preserve">Institut </w:t>
      </w:r>
      <w:r w:rsidR="009C0E04" w:rsidRPr="009C0E04">
        <w:rPr>
          <w:color w:val="000000"/>
          <w:lang w:val="de-DE" w:eastAsia="de-AT"/>
        </w:rPr>
        <w:t xml:space="preserve">für </w:t>
      </w:r>
      <w:r w:rsidRPr="009C0E04">
        <w:rPr>
          <w:color w:val="000000"/>
          <w:lang w:val="de-DE" w:eastAsia="de-AT"/>
        </w:rPr>
        <w:t>Patholog</w:t>
      </w:r>
      <w:r w:rsidR="009C0E04">
        <w:rPr>
          <w:color w:val="000000"/>
          <w:lang w:val="de-DE" w:eastAsia="de-AT"/>
        </w:rPr>
        <w:t>ie</w:t>
      </w:r>
      <w:r w:rsidRPr="009C0E04">
        <w:rPr>
          <w:color w:val="000000"/>
          <w:lang w:val="de-DE" w:eastAsia="de-AT"/>
        </w:rPr>
        <w:t xml:space="preserve">; </w:t>
      </w:r>
      <w:r w:rsidRPr="009C0E04">
        <w:rPr>
          <w:color w:val="000000"/>
          <w:vertAlign w:val="superscript"/>
          <w:lang w:val="de-DE" w:eastAsia="de-AT"/>
        </w:rPr>
        <w:t>8</w:t>
      </w:r>
      <w:r w:rsidR="009C0E04">
        <w:rPr>
          <w:color w:val="000000"/>
          <w:lang w:val="de-DE" w:eastAsia="de-AT"/>
        </w:rPr>
        <w:t>Klinik für Radioonkologie, Cyberknife und Strahlentherapie</w:t>
      </w:r>
      <w:r w:rsidRPr="009C0E04">
        <w:rPr>
          <w:color w:val="000000"/>
          <w:lang w:val="de-DE" w:eastAsia="de-AT"/>
        </w:rPr>
        <w:t xml:space="preserve">; </w:t>
      </w:r>
      <w:r w:rsidRPr="009C0E04">
        <w:rPr>
          <w:color w:val="000000"/>
          <w:vertAlign w:val="superscript"/>
          <w:lang w:val="de-DE" w:eastAsia="de-AT"/>
        </w:rPr>
        <w:t>9</w:t>
      </w:r>
      <w:r w:rsidR="009C0E04">
        <w:rPr>
          <w:color w:val="000000"/>
          <w:lang w:val="de-DE" w:eastAsia="de-AT"/>
        </w:rPr>
        <w:t xml:space="preserve">Klinik für </w:t>
      </w:r>
      <w:r w:rsidRPr="009C0E04">
        <w:rPr>
          <w:color w:val="000000"/>
          <w:lang w:val="de-DE" w:eastAsia="de-AT"/>
        </w:rPr>
        <w:t>Stereotax</w:t>
      </w:r>
      <w:r w:rsidR="009C0E04">
        <w:rPr>
          <w:color w:val="000000"/>
          <w:lang w:val="de-DE" w:eastAsia="de-AT"/>
        </w:rPr>
        <w:t>ie</w:t>
      </w:r>
      <w:r w:rsidRPr="009C0E04">
        <w:rPr>
          <w:color w:val="000000"/>
          <w:lang w:val="de-DE" w:eastAsia="de-AT"/>
        </w:rPr>
        <w:t xml:space="preserve"> and fun</w:t>
      </w:r>
      <w:r w:rsidR="009C0E04">
        <w:rPr>
          <w:color w:val="000000"/>
          <w:lang w:val="de-DE" w:eastAsia="de-AT"/>
        </w:rPr>
        <w:t>k</w:t>
      </w:r>
      <w:r w:rsidRPr="009C0E04">
        <w:rPr>
          <w:color w:val="000000"/>
          <w:lang w:val="de-DE" w:eastAsia="de-AT"/>
        </w:rPr>
        <w:t>tion</w:t>
      </w:r>
      <w:r w:rsidR="009C0E04">
        <w:rPr>
          <w:color w:val="000000"/>
          <w:lang w:val="de-DE" w:eastAsia="de-AT"/>
        </w:rPr>
        <w:t xml:space="preserve">elle </w:t>
      </w:r>
      <w:r w:rsidRPr="009C0E04">
        <w:rPr>
          <w:color w:val="000000"/>
          <w:lang w:val="de-DE" w:eastAsia="de-AT"/>
        </w:rPr>
        <w:t>Neuro</w:t>
      </w:r>
      <w:r w:rsidR="009C0E04">
        <w:rPr>
          <w:color w:val="000000"/>
          <w:lang w:val="de-DE" w:eastAsia="de-AT"/>
        </w:rPr>
        <w:t>chirurgie</w:t>
      </w:r>
      <w:r w:rsidRPr="009C0E04">
        <w:rPr>
          <w:color w:val="000000"/>
          <w:lang w:val="de-DE" w:eastAsia="de-AT"/>
        </w:rPr>
        <w:t xml:space="preserve">; </w:t>
      </w:r>
      <w:r w:rsidRPr="009C0E04">
        <w:rPr>
          <w:color w:val="000000"/>
          <w:vertAlign w:val="superscript"/>
          <w:lang w:val="de-DE" w:eastAsia="de-AT"/>
        </w:rPr>
        <w:t>10</w:t>
      </w:r>
      <w:r w:rsidR="009C0E04">
        <w:rPr>
          <w:color w:val="000000"/>
          <w:lang w:val="de-DE" w:eastAsia="de-AT"/>
        </w:rPr>
        <w:t>Centtrum für</w:t>
      </w:r>
      <w:r w:rsidRPr="009C0E04">
        <w:rPr>
          <w:color w:val="000000"/>
          <w:lang w:val="de-DE" w:eastAsia="de-AT"/>
        </w:rPr>
        <w:t xml:space="preserve"> Integr</w:t>
      </w:r>
      <w:r w:rsidR="009C0E04">
        <w:rPr>
          <w:color w:val="000000"/>
          <w:lang w:val="de-DE" w:eastAsia="de-AT"/>
        </w:rPr>
        <w:t>ierte</w:t>
      </w:r>
      <w:r w:rsidRPr="009C0E04">
        <w:rPr>
          <w:color w:val="000000"/>
          <w:lang w:val="de-DE" w:eastAsia="de-AT"/>
        </w:rPr>
        <w:t xml:space="preserve"> On</w:t>
      </w:r>
      <w:r w:rsidR="009C0E04">
        <w:rPr>
          <w:color w:val="000000"/>
          <w:lang w:val="de-DE" w:eastAsia="de-AT"/>
        </w:rPr>
        <w:t>k</w:t>
      </w:r>
      <w:r w:rsidRPr="009C0E04">
        <w:rPr>
          <w:color w:val="000000"/>
          <w:lang w:val="de-DE" w:eastAsia="de-AT"/>
        </w:rPr>
        <w:t>olog</w:t>
      </w:r>
      <w:r w:rsidR="009C0E04">
        <w:rPr>
          <w:color w:val="000000"/>
          <w:lang w:val="de-DE" w:eastAsia="de-AT"/>
        </w:rPr>
        <w:t>ie (CIO) Aachen</w:t>
      </w:r>
      <w:r w:rsidRPr="009C0E04">
        <w:rPr>
          <w:color w:val="000000"/>
          <w:lang w:val="de-DE" w:eastAsia="de-AT"/>
        </w:rPr>
        <w:t xml:space="preserve"> Bonn </w:t>
      </w:r>
      <w:r w:rsidR="009C0E04">
        <w:rPr>
          <w:color w:val="000000"/>
          <w:lang w:val="de-DE" w:eastAsia="de-AT"/>
        </w:rPr>
        <w:t xml:space="preserve">Köln Düsseldorf </w:t>
      </w:r>
      <w:r w:rsidRPr="009C0E04">
        <w:rPr>
          <w:color w:val="000000"/>
          <w:lang w:val="de-DE" w:eastAsia="de-AT"/>
        </w:rPr>
        <w:t>(CIO)</w:t>
      </w:r>
    </w:p>
    <w:p w14:paraId="09F6801A" w14:textId="77777777" w:rsidR="00A218CC" w:rsidRPr="009C0E04" w:rsidRDefault="00A218CC" w:rsidP="00A218C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p>
    <w:p w14:paraId="68574F92" w14:textId="77777777" w:rsidR="00A218CC" w:rsidRPr="009C0E04" w:rsidRDefault="00A218CC" w:rsidP="00A218C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p>
    <w:p w14:paraId="45AD9B6E" w14:textId="77777777" w:rsidR="00A218CC" w:rsidRPr="009C0E04" w:rsidRDefault="00A218CC"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p>
    <w:p w14:paraId="7220F5B6" w14:textId="696EEC30" w:rsidR="00A218CC" w:rsidRPr="00BB2900" w:rsidRDefault="009C0E04"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b/>
          <w:color w:val="000000"/>
          <w:lang w:val="de-DE" w:eastAsia="de-AT"/>
        </w:rPr>
      </w:pPr>
      <w:r w:rsidRPr="00BB2900">
        <w:rPr>
          <w:b/>
          <w:color w:val="000000"/>
          <w:lang w:val="de-DE" w:eastAsia="de-AT"/>
        </w:rPr>
        <w:t>Korrespondenz:</w:t>
      </w:r>
    </w:p>
    <w:p w14:paraId="2CEF2290" w14:textId="3DAFCA48" w:rsidR="00A016ED" w:rsidRPr="00BB2900" w:rsidRDefault="00A016E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DE" w:eastAsia="de-AT"/>
        </w:rPr>
      </w:pPr>
      <w:r w:rsidRPr="00BB2900">
        <w:rPr>
          <w:color w:val="000000"/>
          <w:lang w:val="de-DE" w:eastAsia="de-AT"/>
        </w:rPr>
        <w:t>Stefan Grau M.D.</w:t>
      </w:r>
    </w:p>
    <w:p w14:paraId="1BF0010C" w14:textId="342CD874" w:rsidR="00A016ED" w:rsidRDefault="00A016E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en-US" w:eastAsia="de-AT"/>
        </w:rPr>
      </w:pPr>
      <w:r>
        <w:rPr>
          <w:color w:val="000000"/>
          <w:lang w:val="en-US" w:eastAsia="de-AT"/>
        </w:rPr>
        <w:t>University Hospital of Cologne, Department of General Neurosurgery</w:t>
      </w:r>
    </w:p>
    <w:p w14:paraId="0A5CDC5F" w14:textId="3A24681C" w:rsidR="00A016ED" w:rsidRDefault="00A016E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en-US" w:eastAsia="de-AT"/>
        </w:rPr>
      </w:pPr>
      <w:r>
        <w:rPr>
          <w:color w:val="000000"/>
          <w:lang w:val="en-US" w:eastAsia="de-AT"/>
        </w:rPr>
        <w:t>Kerpener Str. 62</w:t>
      </w:r>
    </w:p>
    <w:p w14:paraId="21BADE81" w14:textId="264DF927" w:rsidR="00A016ED" w:rsidRDefault="00A016E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en-US" w:eastAsia="de-AT"/>
        </w:rPr>
      </w:pPr>
      <w:r>
        <w:rPr>
          <w:color w:val="000000"/>
          <w:lang w:val="en-US" w:eastAsia="de-AT"/>
        </w:rPr>
        <w:t>50937 Cologne, Germany</w:t>
      </w:r>
    </w:p>
    <w:p w14:paraId="185C0451" w14:textId="2B26A5E5" w:rsidR="00A016ED" w:rsidRDefault="00A016E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en-US" w:eastAsia="de-AT"/>
        </w:rPr>
      </w:pPr>
      <w:r>
        <w:rPr>
          <w:color w:val="000000"/>
          <w:lang w:val="en-US" w:eastAsia="de-AT"/>
        </w:rPr>
        <w:t>Phone: +49 221 478 82764 Fax: +49 221 478 82825</w:t>
      </w:r>
    </w:p>
    <w:p w14:paraId="04B702DC" w14:textId="01876B8B" w:rsidR="00A016ED" w:rsidRDefault="00F22F4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en-US" w:eastAsia="de-AT"/>
        </w:rPr>
      </w:pPr>
      <w:hyperlink r:id="rId8" w:history="1">
        <w:r w:rsidR="00A016ED" w:rsidRPr="001D2786">
          <w:rPr>
            <w:rStyle w:val="Hyperlink"/>
            <w:lang w:val="en-US" w:eastAsia="de-AT"/>
          </w:rPr>
          <w:t>Stefan.grau@uk-koeln.de</w:t>
        </w:r>
      </w:hyperlink>
    </w:p>
    <w:p w14:paraId="3AB49E00" w14:textId="77777777" w:rsidR="00A016ED" w:rsidRPr="009C0E04" w:rsidRDefault="00A016E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en-US" w:eastAsia="de-AT"/>
        </w:rPr>
      </w:pPr>
    </w:p>
    <w:p w14:paraId="1326C0E9" w14:textId="77777777" w:rsidR="00875D23" w:rsidRPr="009C0E04" w:rsidRDefault="00875D23"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en-US" w:eastAsia="de-AT"/>
        </w:rPr>
      </w:pPr>
    </w:p>
    <w:p w14:paraId="22171427" w14:textId="77777777" w:rsidR="00A016ED" w:rsidRDefault="00A016ED">
      <w:pPr>
        <w:spacing w:after="160" w:line="259" w:lineRule="auto"/>
        <w:rPr>
          <w:rFonts w:ascii="Arial" w:hAnsi="Arial" w:cs="Arial"/>
          <w:b/>
          <w:color w:val="000000"/>
          <w:sz w:val="24"/>
          <w:szCs w:val="24"/>
          <w:lang w:val="en-US" w:eastAsia="de-AT"/>
        </w:rPr>
      </w:pPr>
      <w:r>
        <w:rPr>
          <w:b/>
          <w:color w:val="000000"/>
          <w:lang w:val="en-US" w:eastAsia="de-AT"/>
        </w:rPr>
        <w:br w:type="page"/>
      </w:r>
    </w:p>
    <w:p w14:paraId="50C3720D" w14:textId="639D3C16" w:rsidR="00875D23" w:rsidRPr="007F761E" w:rsidRDefault="00875D23"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b/>
          <w:color w:val="000000"/>
          <w:lang w:val="en-US" w:eastAsia="de-AT"/>
        </w:rPr>
      </w:pPr>
      <w:r w:rsidRPr="007F761E">
        <w:rPr>
          <w:b/>
          <w:color w:val="000000"/>
          <w:lang w:val="en-US" w:eastAsia="de-AT"/>
        </w:rPr>
        <w:lastRenderedPageBreak/>
        <w:t>Einleitung:</w:t>
      </w:r>
    </w:p>
    <w:p w14:paraId="7144EE94" w14:textId="76C7CF6D" w:rsidR="00FE3114" w:rsidRPr="00A218CC" w:rsidRDefault="001E237B" w:rsidP="00A218C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sidRPr="00603DB9">
        <w:rPr>
          <w:rFonts w:eastAsia="Times New Roman"/>
          <w:color w:val="000000"/>
          <w:lang w:val="de-AT" w:eastAsia="de-AT"/>
        </w:rPr>
        <w:t xml:space="preserve">Die </w:t>
      </w:r>
      <w:r w:rsidR="00D675E0" w:rsidRPr="00603DB9">
        <w:rPr>
          <w:rFonts w:eastAsia="Times New Roman"/>
          <w:color w:val="000000"/>
          <w:lang w:val="de-AT" w:eastAsia="de-AT"/>
        </w:rPr>
        <w:t xml:space="preserve">Inzidenz, </w:t>
      </w:r>
      <w:r w:rsidRPr="00603DB9">
        <w:rPr>
          <w:rFonts w:eastAsia="Times New Roman"/>
          <w:color w:val="000000"/>
          <w:lang w:val="de-AT" w:eastAsia="de-AT"/>
        </w:rPr>
        <w:t xml:space="preserve">Behandlung </w:t>
      </w:r>
      <w:r w:rsidR="00FE3114" w:rsidRPr="00603DB9">
        <w:rPr>
          <w:rFonts w:eastAsia="Times New Roman"/>
          <w:color w:val="000000"/>
          <w:lang w:val="de-AT" w:eastAsia="de-AT"/>
        </w:rPr>
        <w:t xml:space="preserve">und Prognose </w:t>
      </w:r>
      <w:r w:rsidRPr="00603DB9">
        <w:rPr>
          <w:rFonts w:eastAsia="Times New Roman"/>
          <w:color w:val="000000"/>
          <w:lang w:val="de-AT" w:eastAsia="de-AT"/>
        </w:rPr>
        <w:t xml:space="preserve">von Patienten mit Hirnmetastasen hat sich in den letzten Jahrzehnten grundlegend geändert. </w:t>
      </w:r>
      <w:r w:rsidR="00FE3114" w:rsidRPr="00A218CC">
        <w:rPr>
          <w:rFonts w:eastAsia="Times New Roman"/>
          <w:color w:val="000000"/>
          <w:lang w:val="de-AT" w:eastAsia="de-AT"/>
        </w:rPr>
        <w:t>Während die Überlebenszeit von zerebral metastasierten Patienten noch vor 10 Jahren durchschnittlich 3 bis maximal 6 Monate betrug, konnte diese aufgrund neuer Methoden in der operativen, strahlentherapeutischen und systemtherapeutischen Behandlung deutlich verlängert werden.</w:t>
      </w:r>
    </w:p>
    <w:p w14:paraId="3A9F921E" w14:textId="2BC2947B" w:rsidR="001E237B" w:rsidRPr="000F2811" w:rsidRDefault="00FE3114" w:rsidP="001E237B">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Pr>
          <w:rFonts w:eastAsia="Times New Roman"/>
          <w:color w:val="000000"/>
          <w:lang w:val="de-AT" w:eastAsia="de-AT"/>
        </w:rPr>
        <w:t xml:space="preserve">Noch vor wenigen Jahren führte </w:t>
      </w:r>
      <w:r w:rsidR="001E237B" w:rsidRPr="000F2811">
        <w:rPr>
          <w:rFonts w:eastAsia="Times New Roman"/>
          <w:color w:val="000000"/>
          <w:lang w:val="de-AT" w:eastAsia="de-AT"/>
        </w:rPr>
        <w:t xml:space="preserve">das Auftreten von Hirnmetastasen </w:t>
      </w:r>
      <w:r>
        <w:rPr>
          <w:rFonts w:eastAsia="Times New Roman"/>
          <w:color w:val="000000"/>
          <w:lang w:val="de-AT" w:eastAsia="de-AT"/>
        </w:rPr>
        <w:t>zu</w:t>
      </w:r>
      <w:r w:rsidR="001E237B" w:rsidRPr="000F2811">
        <w:rPr>
          <w:rFonts w:eastAsia="Times New Roman"/>
          <w:color w:val="000000"/>
          <w:lang w:val="de-AT" w:eastAsia="de-AT"/>
        </w:rPr>
        <w:t xml:space="preserve"> einem Rückzug aus der systemisch-onkologisc</w:t>
      </w:r>
      <w:r w:rsidR="001E237B">
        <w:rPr>
          <w:rFonts w:eastAsia="Times New Roman"/>
          <w:color w:val="000000"/>
          <w:lang w:val="de-AT" w:eastAsia="de-AT"/>
        </w:rPr>
        <w:t>hen Behandlung und dem Ausschlu</w:t>
      </w:r>
      <w:r w:rsidR="001E237B" w:rsidRPr="000F2811">
        <w:rPr>
          <w:rFonts w:eastAsia="Times New Roman"/>
          <w:color w:val="000000"/>
          <w:lang w:val="de-AT" w:eastAsia="de-AT"/>
        </w:rPr>
        <w:t xml:space="preserve">ss von </w:t>
      </w:r>
      <w:r w:rsidR="001E237B">
        <w:rPr>
          <w:rFonts w:eastAsia="Times New Roman"/>
          <w:color w:val="000000"/>
          <w:lang w:val="de-AT" w:eastAsia="de-AT"/>
        </w:rPr>
        <w:t>medikamentösen T</w:t>
      </w:r>
      <w:r w:rsidR="001E237B" w:rsidRPr="000F2811">
        <w:rPr>
          <w:rFonts w:eastAsia="Times New Roman"/>
          <w:color w:val="000000"/>
          <w:lang w:val="de-AT" w:eastAsia="de-AT"/>
        </w:rPr>
        <w:t xml:space="preserve">herapiestudien </w:t>
      </w:r>
      <w:r>
        <w:rPr>
          <w:rFonts w:eastAsia="Times New Roman"/>
          <w:color w:val="000000"/>
          <w:lang w:val="de-AT" w:eastAsia="de-AT"/>
        </w:rPr>
        <w:t>und zu</w:t>
      </w:r>
      <w:r w:rsidR="001E237B" w:rsidRPr="000F2811">
        <w:rPr>
          <w:rFonts w:eastAsia="Times New Roman"/>
          <w:color w:val="000000"/>
          <w:lang w:val="de-AT" w:eastAsia="de-AT"/>
        </w:rPr>
        <w:t xml:space="preserve"> einer rein palliativ orientierten Behandlung im Sinne einer</w:t>
      </w:r>
      <w:r>
        <w:rPr>
          <w:rFonts w:eastAsia="Times New Roman"/>
          <w:color w:val="000000"/>
          <w:lang w:val="de-AT" w:eastAsia="de-AT"/>
        </w:rPr>
        <w:t xml:space="preserve"> </w:t>
      </w:r>
      <w:r w:rsidR="00A218CC">
        <w:rPr>
          <w:rFonts w:eastAsia="Times New Roman"/>
          <w:color w:val="000000"/>
          <w:lang w:val="de-AT" w:eastAsia="de-AT"/>
        </w:rPr>
        <w:t>Ganzhirnbestrahlung (</w:t>
      </w:r>
      <w:r>
        <w:rPr>
          <w:rFonts w:eastAsia="Times New Roman"/>
          <w:color w:val="000000"/>
          <w:lang w:val="de-AT" w:eastAsia="de-AT"/>
        </w:rPr>
        <w:t>WBRT</w:t>
      </w:r>
      <w:r w:rsidR="00A218CC">
        <w:rPr>
          <w:rFonts w:eastAsia="Times New Roman"/>
          <w:color w:val="000000"/>
          <w:lang w:val="de-AT" w:eastAsia="de-AT"/>
        </w:rPr>
        <w:t>)</w:t>
      </w:r>
      <w:r>
        <w:rPr>
          <w:rFonts w:eastAsia="Times New Roman"/>
          <w:color w:val="000000"/>
          <w:lang w:val="de-AT" w:eastAsia="de-AT"/>
        </w:rPr>
        <w:t xml:space="preserve"> mit oder ohne Operation. D</w:t>
      </w:r>
      <w:r w:rsidR="001E237B" w:rsidRPr="000F2811">
        <w:rPr>
          <w:rFonts w:eastAsia="Times New Roman"/>
          <w:color w:val="000000"/>
          <w:lang w:val="de-AT" w:eastAsia="de-AT"/>
        </w:rPr>
        <w:t>ie zunehmende Verfügbarkeit zielgerichteter und immun</w:t>
      </w:r>
      <w:r w:rsidR="001E237B">
        <w:rPr>
          <w:rFonts w:eastAsia="Times New Roman"/>
          <w:color w:val="000000"/>
          <w:lang w:val="de-AT" w:eastAsia="de-AT"/>
        </w:rPr>
        <w:t>-</w:t>
      </w:r>
      <w:r w:rsidR="001E237B" w:rsidRPr="000F2811">
        <w:rPr>
          <w:rFonts w:eastAsia="Times New Roman"/>
          <w:color w:val="000000"/>
          <w:lang w:val="de-AT" w:eastAsia="de-AT"/>
        </w:rPr>
        <w:t xml:space="preserve">modulatorischer Medikamente sowie adaptierte radio-onkologischer Verfahren </w:t>
      </w:r>
      <w:r w:rsidR="00114C99">
        <w:rPr>
          <w:rFonts w:eastAsia="Times New Roman"/>
          <w:color w:val="000000"/>
          <w:lang w:val="de-AT" w:eastAsia="de-AT"/>
        </w:rPr>
        <w:t>erlauben immer mehr</w:t>
      </w:r>
      <w:r w:rsidR="001E237B" w:rsidRPr="000F2811">
        <w:rPr>
          <w:rFonts w:eastAsia="Times New Roman"/>
          <w:color w:val="000000"/>
          <w:lang w:val="de-AT" w:eastAsia="de-AT"/>
        </w:rPr>
        <w:t xml:space="preserve"> individualisierte Therapieansätze. </w:t>
      </w:r>
    </w:p>
    <w:p w14:paraId="65015D21" w14:textId="05EE50E7" w:rsidR="00875D23" w:rsidRPr="000F2811" w:rsidRDefault="00875D23"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color w:val="000000"/>
          <w:lang w:val="de-AT" w:eastAsia="de-AT"/>
        </w:rPr>
      </w:pPr>
      <w:r w:rsidRPr="000F2811">
        <w:rPr>
          <w:color w:val="000000"/>
          <w:lang w:val="de-AT" w:eastAsia="de-AT"/>
        </w:rPr>
        <w:t>Die am häufigsten in das zentrale Nervensystem (ZNS) metastasierenden Tumoren stellen Bronchialkarzinome, gefolgt von Mammakar</w:t>
      </w:r>
      <w:r w:rsidR="00934FC7" w:rsidRPr="000F2811">
        <w:rPr>
          <w:color w:val="000000"/>
          <w:lang w:val="de-AT" w:eastAsia="de-AT"/>
        </w:rPr>
        <w:t>z</w:t>
      </w:r>
      <w:r w:rsidRPr="000F2811">
        <w:rPr>
          <w:color w:val="000000"/>
          <w:lang w:val="de-AT" w:eastAsia="de-AT"/>
        </w:rPr>
        <w:t>inomen</w:t>
      </w:r>
      <w:r w:rsidR="00593CAA">
        <w:rPr>
          <w:color w:val="000000"/>
          <w:lang w:val="de-AT" w:eastAsia="de-AT"/>
        </w:rPr>
        <w:t xml:space="preserve">, </w:t>
      </w:r>
      <w:r w:rsidRPr="000F2811">
        <w:rPr>
          <w:color w:val="000000"/>
          <w:lang w:val="de-AT" w:eastAsia="de-AT"/>
        </w:rPr>
        <w:t xml:space="preserve">malignen Melanomen </w:t>
      </w:r>
      <w:r w:rsidR="00593CAA">
        <w:rPr>
          <w:color w:val="000000"/>
          <w:lang w:val="de-AT" w:eastAsia="de-AT"/>
        </w:rPr>
        <w:t xml:space="preserve">und Nierenzellkarzinomen </w:t>
      </w:r>
      <w:r w:rsidRPr="000F2811">
        <w:rPr>
          <w:color w:val="000000"/>
          <w:lang w:val="de-AT" w:eastAsia="de-AT"/>
        </w:rPr>
        <w:t xml:space="preserve">dar, wobei in zunehmendem Maße auch </w:t>
      </w:r>
      <w:r w:rsidR="00237910">
        <w:rPr>
          <w:color w:val="000000"/>
          <w:lang w:val="de-AT" w:eastAsia="de-AT"/>
        </w:rPr>
        <w:t xml:space="preserve">bei </w:t>
      </w:r>
      <w:r w:rsidRPr="000F2811">
        <w:rPr>
          <w:color w:val="000000"/>
          <w:lang w:val="de-AT" w:eastAsia="de-AT"/>
        </w:rPr>
        <w:t>gastrointestinale</w:t>
      </w:r>
      <w:r w:rsidR="00237910">
        <w:rPr>
          <w:color w:val="000000"/>
          <w:lang w:val="de-AT" w:eastAsia="de-AT"/>
        </w:rPr>
        <w:t>n</w:t>
      </w:r>
      <w:r w:rsidRPr="000F2811">
        <w:rPr>
          <w:color w:val="000000"/>
          <w:lang w:val="de-AT" w:eastAsia="de-AT"/>
        </w:rPr>
        <w:t xml:space="preserve"> Tumoren ZNS Metastasen </w:t>
      </w:r>
      <w:r w:rsidR="00237910">
        <w:rPr>
          <w:color w:val="000000"/>
          <w:lang w:val="de-AT" w:eastAsia="de-AT"/>
        </w:rPr>
        <w:t>diagnostiziert werden</w:t>
      </w:r>
      <w:r w:rsidRPr="000F2811">
        <w:rPr>
          <w:color w:val="000000"/>
          <w:lang w:val="de-AT" w:eastAsia="de-AT"/>
        </w:rPr>
        <w:t xml:space="preserve">. </w:t>
      </w:r>
    </w:p>
    <w:p w14:paraId="72179E76" w14:textId="4D1A677F" w:rsidR="002D6BC8" w:rsidRDefault="0008292C" w:rsidP="002D6BC8">
      <w:pPr>
        <w:spacing w:line="360" w:lineRule="auto"/>
        <w:jc w:val="both"/>
        <w:rPr>
          <w:rFonts w:ascii="Arial" w:hAnsi="Arial" w:cs="Arial"/>
          <w:sz w:val="24"/>
          <w:szCs w:val="24"/>
        </w:rPr>
      </w:pPr>
      <w:r w:rsidRPr="000F2811">
        <w:rPr>
          <w:rFonts w:ascii="Arial" w:hAnsi="Arial" w:cs="Arial"/>
          <w:sz w:val="24"/>
          <w:szCs w:val="24"/>
        </w:rPr>
        <w:t xml:space="preserve">Der klinische Verlauf </w:t>
      </w:r>
      <w:r w:rsidR="002D6BC8" w:rsidRPr="000F2811">
        <w:rPr>
          <w:rFonts w:ascii="Arial" w:hAnsi="Arial" w:cs="Arial"/>
          <w:sz w:val="24"/>
          <w:szCs w:val="24"/>
        </w:rPr>
        <w:t xml:space="preserve">der betroffenen Patienten ist heterogen. Verschiedene </w:t>
      </w:r>
      <w:r w:rsidR="001E237B">
        <w:rPr>
          <w:rFonts w:ascii="Arial" w:hAnsi="Arial" w:cs="Arial"/>
          <w:sz w:val="24"/>
          <w:szCs w:val="24"/>
        </w:rPr>
        <w:t>Risikom</w:t>
      </w:r>
      <w:r w:rsidR="002D6BC8" w:rsidRPr="000F2811">
        <w:rPr>
          <w:rFonts w:ascii="Arial" w:hAnsi="Arial" w:cs="Arial"/>
          <w:sz w:val="24"/>
          <w:szCs w:val="24"/>
        </w:rPr>
        <w:t xml:space="preserve">odelle </w:t>
      </w:r>
      <w:r w:rsidR="000D6A32">
        <w:rPr>
          <w:rFonts w:ascii="Arial" w:hAnsi="Arial" w:cs="Arial"/>
          <w:sz w:val="24"/>
          <w:szCs w:val="24"/>
        </w:rPr>
        <w:t>haben</w:t>
      </w:r>
      <w:r w:rsidR="000D6A32" w:rsidRPr="000F2811">
        <w:rPr>
          <w:rFonts w:ascii="Arial" w:hAnsi="Arial" w:cs="Arial"/>
          <w:sz w:val="24"/>
          <w:szCs w:val="24"/>
        </w:rPr>
        <w:t xml:space="preserve"> </w:t>
      </w:r>
      <w:r w:rsidR="002D6BC8" w:rsidRPr="000F2811">
        <w:rPr>
          <w:rFonts w:ascii="Arial" w:hAnsi="Arial" w:cs="Arial"/>
          <w:sz w:val="24"/>
          <w:szCs w:val="24"/>
        </w:rPr>
        <w:t>Faktoren wie das Alter, den klinischen Zustand (Karnofsky-Index), die Kontrolle des extrakraniellen Befalls und die Anzahl der zerebralen Metastasen als prognosebestimmend</w:t>
      </w:r>
      <w:r w:rsidR="000D6A32">
        <w:rPr>
          <w:rFonts w:ascii="Arial" w:hAnsi="Arial" w:cs="Arial"/>
          <w:sz w:val="24"/>
          <w:szCs w:val="24"/>
        </w:rPr>
        <w:t xml:space="preserve"> definiert</w:t>
      </w:r>
      <w:r w:rsidR="002D6BC8" w:rsidRPr="000F2811">
        <w:rPr>
          <w:rFonts w:ascii="Arial" w:hAnsi="Arial" w:cs="Arial"/>
          <w:sz w:val="24"/>
          <w:szCs w:val="24"/>
        </w:rPr>
        <w:t>, zudem beziehen aktuelle Score</w:t>
      </w:r>
      <w:r w:rsidR="001E237B">
        <w:rPr>
          <w:rFonts w:ascii="Arial" w:hAnsi="Arial" w:cs="Arial"/>
          <w:sz w:val="24"/>
          <w:szCs w:val="24"/>
        </w:rPr>
        <w:t>s</w:t>
      </w:r>
      <w:r w:rsidR="002D6BC8" w:rsidRPr="000F2811">
        <w:rPr>
          <w:rFonts w:ascii="Arial" w:hAnsi="Arial" w:cs="Arial"/>
          <w:sz w:val="24"/>
          <w:szCs w:val="24"/>
        </w:rPr>
        <w:t xml:space="preserve"> </w:t>
      </w:r>
      <w:r w:rsidR="000D6A32">
        <w:rPr>
          <w:rFonts w:ascii="Arial" w:hAnsi="Arial" w:cs="Arial"/>
          <w:sz w:val="24"/>
          <w:szCs w:val="24"/>
        </w:rPr>
        <w:t xml:space="preserve">auch </w:t>
      </w:r>
      <w:r w:rsidR="002D6BC8" w:rsidRPr="000F2811">
        <w:rPr>
          <w:rFonts w:ascii="Arial" w:hAnsi="Arial" w:cs="Arial"/>
          <w:sz w:val="24"/>
          <w:szCs w:val="24"/>
        </w:rPr>
        <w:t xml:space="preserve">die </w:t>
      </w:r>
      <w:r w:rsidR="001E237B">
        <w:rPr>
          <w:rFonts w:ascii="Arial" w:hAnsi="Arial" w:cs="Arial"/>
          <w:sz w:val="24"/>
          <w:szCs w:val="24"/>
        </w:rPr>
        <w:t xml:space="preserve">zugrundeliegende </w:t>
      </w:r>
      <w:r w:rsidR="002D6BC8" w:rsidRPr="000F2811">
        <w:rPr>
          <w:rFonts w:ascii="Arial" w:hAnsi="Arial" w:cs="Arial"/>
          <w:sz w:val="24"/>
          <w:szCs w:val="24"/>
        </w:rPr>
        <w:t xml:space="preserve">Tumorentität sowie molekulare Faktoren </w:t>
      </w:r>
      <w:r w:rsidR="001012C8">
        <w:rPr>
          <w:rFonts w:ascii="Arial" w:hAnsi="Arial" w:cs="Arial"/>
          <w:sz w:val="24"/>
          <w:szCs w:val="24"/>
        </w:rPr>
        <w:t>in</w:t>
      </w:r>
      <w:r w:rsidR="001012C8" w:rsidRPr="000F2811">
        <w:rPr>
          <w:rFonts w:ascii="Arial" w:hAnsi="Arial" w:cs="Arial"/>
          <w:sz w:val="24"/>
          <w:szCs w:val="24"/>
        </w:rPr>
        <w:t xml:space="preserve"> </w:t>
      </w:r>
      <w:r w:rsidR="002D6BC8" w:rsidRPr="000F2811">
        <w:rPr>
          <w:rFonts w:ascii="Arial" w:hAnsi="Arial" w:cs="Arial"/>
          <w:sz w:val="24"/>
          <w:szCs w:val="24"/>
        </w:rPr>
        <w:t>die Prognoseberechnung</w:t>
      </w:r>
      <w:r w:rsidR="001012C8">
        <w:rPr>
          <w:rFonts w:ascii="Arial" w:hAnsi="Arial" w:cs="Arial"/>
          <w:sz w:val="24"/>
          <w:szCs w:val="24"/>
        </w:rPr>
        <w:t xml:space="preserve"> </w:t>
      </w:r>
      <w:r w:rsidR="002D6BC8" w:rsidRPr="000F2811">
        <w:rPr>
          <w:rFonts w:ascii="Arial" w:hAnsi="Arial" w:cs="Arial"/>
          <w:sz w:val="24"/>
          <w:szCs w:val="24"/>
        </w:rPr>
        <w:t xml:space="preserve">ein. </w:t>
      </w:r>
    </w:p>
    <w:p w14:paraId="1E9EE137" w14:textId="77777777" w:rsidR="00D675E0" w:rsidRPr="000F2811" w:rsidRDefault="00D675E0" w:rsidP="002D6BC8">
      <w:pPr>
        <w:spacing w:line="360" w:lineRule="auto"/>
        <w:jc w:val="both"/>
        <w:rPr>
          <w:rFonts w:ascii="Arial" w:hAnsi="Arial" w:cs="Arial"/>
          <w:sz w:val="24"/>
          <w:szCs w:val="24"/>
        </w:rPr>
      </w:pPr>
    </w:p>
    <w:p w14:paraId="4DFD7192" w14:textId="5F67D729" w:rsidR="00D675E0" w:rsidRDefault="000F2811" w:rsidP="00A218CC">
      <w:pPr>
        <w:spacing w:line="360" w:lineRule="auto"/>
        <w:jc w:val="both"/>
        <w:rPr>
          <w:rFonts w:ascii="Arial" w:eastAsia="Times New Roman" w:hAnsi="Arial" w:cs="Arial"/>
          <w:b/>
          <w:color w:val="000000"/>
          <w:sz w:val="24"/>
          <w:szCs w:val="24"/>
          <w:lang w:val="de-AT" w:eastAsia="de-AT"/>
        </w:rPr>
      </w:pPr>
      <w:r w:rsidRPr="000F2811">
        <w:rPr>
          <w:rFonts w:ascii="Arial" w:hAnsi="Arial" w:cs="Arial"/>
          <w:sz w:val="24"/>
          <w:szCs w:val="24"/>
        </w:rPr>
        <w:t xml:space="preserve">Im Rahmen dieser Übersichtsarbeit soll </w:t>
      </w:r>
      <w:r w:rsidR="005C60FB">
        <w:rPr>
          <w:rFonts w:ascii="Arial" w:hAnsi="Arial" w:cs="Arial"/>
          <w:sz w:val="24"/>
          <w:szCs w:val="24"/>
        </w:rPr>
        <w:t xml:space="preserve">der Fortschritt und </w:t>
      </w:r>
      <w:r w:rsidRPr="000F2811">
        <w:rPr>
          <w:rFonts w:ascii="Arial" w:hAnsi="Arial" w:cs="Arial"/>
          <w:sz w:val="24"/>
          <w:szCs w:val="24"/>
        </w:rPr>
        <w:t xml:space="preserve">die Komplexität der Behandlung von Hirnmetastasen im Kontext moderner fachübergreifender Konzepte dargelegt werden.  </w:t>
      </w:r>
      <w:r w:rsidR="00D675E0">
        <w:rPr>
          <w:rFonts w:eastAsia="Times New Roman"/>
          <w:b/>
          <w:color w:val="000000"/>
          <w:lang w:val="de-AT" w:eastAsia="de-AT"/>
        </w:rPr>
        <w:br w:type="page"/>
      </w:r>
    </w:p>
    <w:p w14:paraId="1BF2CAB6" w14:textId="5D3ED1A4" w:rsidR="006B4DCE" w:rsidRPr="000F2811" w:rsidRDefault="006B4DCE"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b/>
          <w:color w:val="000000"/>
          <w:lang w:val="de-AT" w:eastAsia="de-AT"/>
        </w:rPr>
      </w:pPr>
      <w:r w:rsidRPr="000F2811">
        <w:rPr>
          <w:rFonts w:eastAsia="Times New Roman"/>
          <w:b/>
          <w:color w:val="000000"/>
          <w:lang w:val="de-AT" w:eastAsia="de-AT"/>
        </w:rPr>
        <w:lastRenderedPageBreak/>
        <w:t>Primärdiagnostik und Therapiemonitoring:</w:t>
      </w:r>
    </w:p>
    <w:p w14:paraId="0E1E0341" w14:textId="69755873" w:rsidR="002E5E5B" w:rsidRDefault="005A2B24" w:rsidP="005A2B24">
      <w:pPr>
        <w:spacing w:line="360" w:lineRule="auto"/>
        <w:jc w:val="both"/>
        <w:rPr>
          <w:rFonts w:ascii="Arial" w:hAnsi="Arial" w:cs="Arial"/>
          <w:sz w:val="24"/>
          <w:szCs w:val="24"/>
        </w:rPr>
      </w:pPr>
      <w:r w:rsidRPr="000F2811">
        <w:rPr>
          <w:rFonts w:ascii="Arial" w:hAnsi="Arial" w:cs="Arial"/>
          <w:sz w:val="24"/>
          <w:szCs w:val="24"/>
        </w:rPr>
        <w:t xml:space="preserve">In der Primärdiagnostik </w:t>
      </w:r>
      <w:r w:rsidR="001012C8">
        <w:rPr>
          <w:rFonts w:ascii="Arial" w:hAnsi="Arial" w:cs="Arial"/>
          <w:sz w:val="24"/>
          <w:szCs w:val="24"/>
        </w:rPr>
        <w:t>z</w:t>
      </w:r>
      <w:r w:rsidR="001012C8" w:rsidRPr="000F2811">
        <w:rPr>
          <w:rFonts w:ascii="Arial" w:hAnsi="Arial" w:cs="Arial"/>
          <w:sz w:val="24"/>
          <w:szCs w:val="24"/>
        </w:rPr>
        <w:t xml:space="preserve">erebraler </w:t>
      </w:r>
      <w:r w:rsidRPr="000F2811">
        <w:rPr>
          <w:rFonts w:ascii="Arial" w:hAnsi="Arial" w:cs="Arial"/>
          <w:sz w:val="24"/>
          <w:szCs w:val="24"/>
        </w:rPr>
        <w:t xml:space="preserve">Metastasen </w:t>
      </w:r>
      <w:r w:rsidR="002E5E5B">
        <w:rPr>
          <w:rFonts w:ascii="Arial" w:hAnsi="Arial" w:cs="Arial"/>
          <w:sz w:val="24"/>
          <w:szCs w:val="24"/>
        </w:rPr>
        <w:t>steht</w:t>
      </w:r>
      <w:r w:rsidRPr="000F2811">
        <w:rPr>
          <w:rFonts w:ascii="Arial" w:hAnsi="Arial" w:cs="Arial"/>
          <w:sz w:val="24"/>
          <w:szCs w:val="24"/>
        </w:rPr>
        <w:t xml:space="preserve"> </w:t>
      </w:r>
      <w:r w:rsidR="002E5E5B">
        <w:rPr>
          <w:rFonts w:ascii="Arial" w:hAnsi="Arial" w:cs="Arial"/>
          <w:sz w:val="24"/>
          <w:szCs w:val="24"/>
        </w:rPr>
        <w:t>die</w:t>
      </w:r>
      <w:r w:rsidRPr="000F2811">
        <w:rPr>
          <w:rFonts w:ascii="Arial" w:hAnsi="Arial" w:cs="Arial"/>
          <w:sz w:val="24"/>
          <w:szCs w:val="24"/>
        </w:rPr>
        <w:t xml:space="preserve"> </w:t>
      </w:r>
      <w:r w:rsidR="002E5E5B" w:rsidRPr="000F2811">
        <w:rPr>
          <w:rFonts w:ascii="Arial" w:hAnsi="Arial" w:cs="Arial"/>
          <w:sz w:val="24"/>
          <w:szCs w:val="24"/>
        </w:rPr>
        <w:t>Magnetresonanztomographie</w:t>
      </w:r>
      <w:r w:rsidRPr="000F2811">
        <w:rPr>
          <w:rFonts w:ascii="Arial" w:hAnsi="Arial" w:cs="Arial"/>
          <w:sz w:val="24"/>
          <w:szCs w:val="24"/>
        </w:rPr>
        <w:t xml:space="preserve">, </w:t>
      </w:r>
      <w:r w:rsidR="002E5E5B">
        <w:rPr>
          <w:rFonts w:ascii="Arial" w:hAnsi="Arial" w:cs="Arial"/>
          <w:sz w:val="24"/>
          <w:szCs w:val="24"/>
        </w:rPr>
        <w:t>d</w:t>
      </w:r>
      <w:r w:rsidRPr="000F2811">
        <w:rPr>
          <w:rFonts w:ascii="Arial" w:hAnsi="Arial" w:cs="Arial"/>
          <w:sz w:val="24"/>
          <w:szCs w:val="24"/>
        </w:rPr>
        <w:t>ie</w:t>
      </w:r>
      <w:r w:rsidR="002E5E5B">
        <w:rPr>
          <w:rFonts w:ascii="Arial" w:hAnsi="Arial" w:cs="Arial"/>
          <w:sz w:val="24"/>
          <w:szCs w:val="24"/>
        </w:rPr>
        <w:t>se</w:t>
      </w:r>
      <w:r w:rsidRPr="000F2811">
        <w:rPr>
          <w:rFonts w:ascii="Arial" w:hAnsi="Arial" w:cs="Arial"/>
          <w:sz w:val="24"/>
          <w:szCs w:val="24"/>
        </w:rPr>
        <w:t xml:space="preserve"> </w:t>
      </w:r>
      <w:r w:rsidR="002E5E5B">
        <w:rPr>
          <w:rFonts w:ascii="Arial" w:hAnsi="Arial" w:cs="Arial"/>
          <w:sz w:val="24"/>
          <w:szCs w:val="24"/>
        </w:rPr>
        <w:t xml:space="preserve">stellt </w:t>
      </w:r>
      <w:r w:rsidRPr="000F2811">
        <w:rPr>
          <w:rFonts w:ascii="Arial" w:hAnsi="Arial" w:cs="Arial"/>
          <w:sz w:val="24"/>
          <w:szCs w:val="24"/>
        </w:rPr>
        <w:t>das deutlich sensitivere Verfahren</w:t>
      </w:r>
      <w:r w:rsidR="002E5E5B">
        <w:rPr>
          <w:rFonts w:ascii="Arial" w:hAnsi="Arial" w:cs="Arial"/>
          <w:sz w:val="24"/>
          <w:szCs w:val="24"/>
        </w:rPr>
        <w:t xml:space="preserve"> im Vergleich zu anderen Bildgebungsmodalitäten </w:t>
      </w:r>
      <w:r w:rsidRPr="000F2811">
        <w:rPr>
          <w:rFonts w:ascii="Arial" w:hAnsi="Arial" w:cs="Arial"/>
          <w:sz w:val="24"/>
          <w:szCs w:val="24"/>
        </w:rPr>
        <w:t xml:space="preserve">und </w:t>
      </w:r>
      <w:r w:rsidR="002E5E5B">
        <w:rPr>
          <w:rFonts w:ascii="Arial" w:hAnsi="Arial" w:cs="Arial"/>
          <w:sz w:val="24"/>
          <w:szCs w:val="24"/>
        </w:rPr>
        <w:t xml:space="preserve">somit den </w:t>
      </w:r>
      <w:r w:rsidRPr="000F2811">
        <w:rPr>
          <w:rFonts w:ascii="Arial" w:hAnsi="Arial" w:cs="Arial"/>
          <w:sz w:val="24"/>
          <w:szCs w:val="24"/>
        </w:rPr>
        <w:t xml:space="preserve">Goldstandard </w:t>
      </w:r>
      <w:r w:rsidR="002E5E5B">
        <w:rPr>
          <w:rFonts w:ascii="Arial" w:hAnsi="Arial" w:cs="Arial"/>
          <w:sz w:val="24"/>
          <w:szCs w:val="24"/>
        </w:rPr>
        <w:t>dar</w:t>
      </w:r>
      <w:r w:rsidRPr="000F2811">
        <w:rPr>
          <w:rFonts w:ascii="Arial" w:hAnsi="Arial" w:cs="Arial"/>
          <w:sz w:val="24"/>
          <w:szCs w:val="24"/>
        </w:rPr>
        <w:t xml:space="preserve">. </w:t>
      </w:r>
    </w:p>
    <w:p w14:paraId="7B5C9B56" w14:textId="090142A4" w:rsidR="005A2B24" w:rsidRPr="000F2811" w:rsidRDefault="005A2B24" w:rsidP="005A2B24">
      <w:pPr>
        <w:spacing w:line="360" w:lineRule="auto"/>
        <w:jc w:val="both"/>
        <w:rPr>
          <w:rFonts w:ascii="Arial" w:hAnsi="Arial" w:cs="Arial"/>
          <w:sz w:val="24"/>
          <w:szCs w:val="24"/>
        </w:rPr>
      </w:pPr>
      <w:r w:rsidRPr="000F2811">
        <w:rPr>
          <w:rFonts w:ascii="Arial" w:hAnsi="Arial" w:cs="Arial"/>
          <w:sz w:val="24"/>
          <w:szCs w:val="24"/>
        </w:rPr>
        <w:t xml:space="preserve">Metastasen führen grundsätzlich zu einer Störung der Blut-Hirn-Schranke, so dass </w:t>
      </w:r>
      <w:r w:rsidR="002E5E5B">
        <w:rPr>
          <w:rFonts w:ascii="Arial" w:hAnsi="Arial" w:cs="Arial"/>
          <w:sz w:val="24"/>
          <w:szCs w:val="24"/>
        </w:rPr>
        <w:t xml:space="preserve">immer </w:t>
      </w:r>
      <w:r w:rsidRPr="000F2811">
        <w:rPr>
          <w:rFonts w:ascii="Arial" w:hAnsi="Arial" w:cs="Arial"/>
          <w:sz w:val="24"/>
          <w:szCs w:val="24"/>
        </w:rPr>
        <w:t xml:space="preserve">Kontrastmittel verabreicht werden sollte. Wichtig ist hierbei, </w:t>
      </w:r>
      <w:r w:rsidR="002E5E5B">
        <w:rPr>
          <w:rFonts w:ascii="Arial" w:hAnsi="Arial" w:cs="Arial"/>
          <w:sz w:val="24"/>
          <w:szCs w:val="24"/>
        </w:rPr>
        <w:t xml:space="preserve">ein Intervall zwischen </w:t>
      </w:r>
      <w:r w:rsidRPr="000F2811">
        <w:rPr>
          <w:rFonts w:ascii="Arial" w:hAnsi="Arial" w:cs="Arial"/>
          <w:sz w:val="24"/>
          <w:szCs w:val="24"/>
        </w:rPr>
        <w:t xml:space="preserve">Kontrastmittelapplikation und Bildakquisition </w:t>
      </w:r>
      <w:r w:rsidR="002E5E5B">
        <w:rPr>
          <w:rFonts w:ascii="Arial" w:hAnsi="Arial" w:cs="Arial"/>
          <w:sz w:val="24"/>
          <w:szCs w:val="24"/>
        </w:rPr>
        <w:t xml:space="preserve">von </w:t>
      </w:r>
      <w:r w:rsidRPr="000F2811">
        <w:rPr>
          <w:rFonts w:ascii="Arial" w:hAnsi="Arial" w:cs="Arial"/>
          <w:sz w:val="24"/>
          <w:szCs w:val="24"/>
        </w:rPr>
        <w:t xml:space="preserve">5 bis 10 Minuten, </w:t>
      </w:r>
      <w:r w:rsidR="002E5E5B">
        <w:rPr>
          <w:rFonts w:ascii="Arial" w:hAnsi="Arial" w:cs="Arial"/>
          <w:sz w:val="24"/>
          <w:szCs w:val="24"/>
        </w:rPr>
        <w:t xml:space="preserve">um eine Anreicherung in </w:t>
      </w:r>
      <w:r w:rsidRPr="000F2811">
        <w:rPr>
          <w:rFonts w:ascii="Arial" w:hAnsi="Arial" w:cs="Arial"/>
          <w:sz w:val="24"/>
          <w:szCs w:val="24"/>
        </w:rPr>
        <w:t>allen Metastasen</w:t>
      </w:r>
      <w:r w:rsidR="002E5E5B">
        <w:rPr>
          <w:rFonts w:ascii="Arial" w:hAnsi="Arial" w:cs="Arial"/>
          <w:sz w:val="24"/>
          <w:szCs w:val="24"/>
        </w:rPr>
        <w:t xml:space="preserve"> zu ermöglichen</w:t>
      </w:r>
      <w:r w:rsidRPr="000F2811">
        <w:rPr>
          <w:rFonts w:ascii="Arial" w:hAnsi="Arial" w:cs="Arial"/>
          <w:sz w:val="24"/>
          <w:szCs w:val="24"/>
        </w:rPr>
        <w:t xml:space="preserve">. Hierbei kann eine Dosiserhöhung des Kontrastmittels </w:t>
      </w:r>
      <w:r w:rsidR="002E5E5B">
        <w:rPr>
          <w:rFonts w:ascii="Arial" w:hAnsi="Arial" w:cs="Arial"/>
          <w:sz w:val="24"/>
          <w:szCs w:val="24"/>
        </w:rPr>
        <w:t>auch</w:t>
      </w:r>
      <w:r w:rsidRPr="000F2811">
        <w:rPr>
          <w:rFonts w:ascii="Arial" w:hAnsi="Arial" w:cs="Arial"/>
          <w:sz w:val="24"/>
          <w:szCs w:val="24"/>
        </w:rPr>
        <w:t xml:space="preserve"> die Nachweisrate von Metastasen erhöhen. </w:t>
      </w:r>
      <w:r w:rsidR="00A218CC">
        <w:rPr>
          <w:rFonts w:ascii="Arial" w:hAnsi="Arial" w:cs="Arial"/>
          <w:sz w:val="24"/>
          <w:szCs w:val="24"/>
        </w:rPr>
        <w:t>Empfehlen</w:t>
      </w:r>
      <w:r w:rsidR="0050172A">
        <w:rPr>
          <w:rFonts w:ascii="Arial" w:hAnsi="Arial" w:cs="Arial"/>
          <w:sz w:val="24"/>
          <w:szCs w:val="24"/>
        </w:rPr>
        <w:t>s</w:t>
      </w:r>
      <w:r w:rsidR="00A218CC">
        <w:rPr>
          <w:rFonts w:ascii="Arial" w:hAnsi="Arial" w:cs="Arial"/>
          <w:sz w:val="24"/>
          <w:szCs w:val="24"/>
        </w:rPr>
        <w:t xml:space="preserve">wert </w:t>
      </w:r>
      <w:r w:rsidRPr="000F2811">
        <w:rPr>
          <w:rFonts w:ascii="Arial" w:hAnsi="Arial" w:cs="Arial"/>
          <w:sz w:val="24"/>
          <w:szCs w:val="24"/>
        </w:rPr>
        <w:t>ist zudem</w:t>
      </w:r>
      <w:r w:rsidR="002E5E5B">
        <w:rPr>
          <w:rFonts w:ascii="Arial" w:hAnsi="Arial" w:cs="Arial"/>
          <w:sz w:val="24"/>
          <w:szCs w:val="24"/>
        </w:rPr>
        <w:t xml:space="preserve"> eine</w:t>
      </w:r>
      <w:r w:rsidRPr="000F2811">
        <w:rPr>
          <w:rFonts w:ascii="Arial" w:hAnsi="Arial" w:cs="Arial"/>
          <w:sz w:val="24"/>
          <w:szCs w:val="24"/>
        </w:rPr>
        <w:t xml:space="preserve"> Untersuchung in dünnen (1mm) 3D -Schichten nach der Kontrastmittelgabe, um auch kleinste Metastasen </w:t>
      </w:r>
      <w:r w:rsidR="002E5E5B">
        <w:rPr>
          <w:rFonts w:ascii="Arial" w:hAnsi="Arial" w:cs="Arial"/>
          <w:sz w:val="24"/>
          <w:szCs w:val="24"/>
        </w:rPr>
        <w:t>i</w:t>
      </w:r>
      <w:r w:rsidRPr="000F2811">
        <w:rPr>
          <w:rFonts w:ascii="Arial" w:hAnsi="Arial" w:cs="Arial"/>
          <w:sz w:val="24"/>
          <w:szCs w:val="24"/>
        </w:rPr>
        <w:t>m Millimeterbereich nachweisen zu können. Bei zystischen Metastasen empfiehlt sich zur Differenzierung zu Abszessen die Anfertigung einer Diffusionssequenz.</w:t>
      </w:r>
    </w:p>
    <w:p w14:paraId="0F75A35D" w14:textId="795B9398" w:rsidR="000F2811" w:rsidRPr="000F2811" w:rsidRDefault="002E5E5B" w:rsidP="005A2B24">
      <w:pPr>
        <w:spacing w:line="360" w:lineRule="auto"/>
        <w:jc w:val="both"/>
        <w:rPr>
          <w:rFonts w:ascii="Arial" w:hAnsi="Arial" w:cs="Arial"/>
          <w:sz w:val="24"/>
          <w:szCs w:val="24"/>
        </w:rPr>
      </w:pPr>
      <w:r>
        <w:rPr>
          <w:rFonts w:ascii="Arial" w:hAnsi="Arial" w:cs="Arial"/>
          <w:sz w:val="24"/>
          <w:szCs w:val="24"/>
        </w:rPr>
        <w:t>D</w:t>
      </w:r>
      <w:r w:rsidR="005A2B24" w:rsidRPr="000F2811">
        <w:rPr>
          <w:rFonts w:ascii="Arial" w:hAnsi="Arial" w:cs="Arial"/>
          <w:sz w:val="24"/>
          <w:szCs w:val="24"/>
        </w:rPr>
        <w:t>ie Positronen-Emissions-Tomographie</w:t>
      </w:r>
      <w:r>
        <w:rPr>
          <w:rFonts w:ascii="Arial" w:hAnsi="Arial" w:cs="Arial"/>
          <w:sz w:val="24"/>
          <w:szCs w:val="24"/>
        </w:rPr>
        <w:t xml:space="preserve"> </w:t>
      </w:r>
      <w:r w:rsidR="00336315">
        <w:rPr>
          <w:rFonts w:ascii="Arial" w:hAnsi="Arial" w:cs="Arial"/>
          <w:sz w:val="24"/>
          <w:szCs w:val="24"/>
        </w:rPr>
        <w:t xml:space="preserve">(PET) </w:t>
      </w:r>
      <w:r>
        <w:rPr>
          <w:rFonts w:ascii="Arial" w:hAnsi="Arial" w:cs="Arial"/>
          <w:sz w:val="24"/>
          <w:szCs w:val="24"/>
        </w:rPr>
        <w:t xml:space="preserve">als weitere, wichtige Bildgebung </w:t>
      </w:r>
      <w:r w:rsidR="005A2B24" w:rsidRPr="000F2811">
        <w:rPr>
          <w:rFonts w:ascii="Arial" w:hAnsi="Arial" w:cs="Arial"/>
          <w:sz w:val="24"/>
          <w:szCs w:val="24"/>
        </w:rPr>
        <w:t>ist jedoch gerade bei sehr kleinen Metastasen der MRT in ihrer Sensitivität deutlich unterlegen.</w:t>
      </w:r>
      <w:r w:rsidR="004B408B">
        <w:rPr>
          <w:rFonts w:ascii="Arial" w:hAnsi="Arial" w:cs="Arial"/>
          <w:sz w:val="24"/>
          <w:szCs w:val="24"/>
        </w:rPr>
        <w:fldChar w:fldCharType="begin" w:fldLock="1"/>
      </w:r>
      <w:r w:rsidR="004B408B">
        <w:rPr>
          <w:rFonts w:ascii="Arial" w:hAnsi="Arial" w:cs="Arial"/>
          <w:sz w:val="24"/>
          <w:szCs w:val="24"/>
        </w:rPr>
        <w:instrText>ADDIN CSL_CITATION {"citationItems":[{"id":"ITEM-1","itemData":{"DOI":"10.1177/0284185116681041","ISSN":"16000455","PMID":"28273734","abstract":"Background Integrated positron emission tomography/magnetic resonance imaging (PET/MRI) systems are increasingly being available and used for staging examinations. Brain metastases (BM) are frequent in patients with non-small cell lung cancer (NSCLC) and decisive for treatment strategy. Purpose To assess the diagnostic value of integrated 18F-2-fluoro-2-deoxy-D glucose (18F-FDG) PET/MRI in initial staging in patients with NSCLC for BM in comparison to MRI alone. Material and Methods Eighty-three patients were prospectively enrolled for an integrated 18F-FDG PET/MRI examination. The 3 T MRI protocol included a fluid-attenuated inversion-recovery sequence (FLAIR) and a contrast-enhanced three-dimensional magnetization prepared rapid acquisition GRE sequence (MPRAGE). Two neuroradiologists evaluated the datasets in consensus regarding: (i) present lesions; (ii) size of lesions; and (III) number of lesions detected in MRI alone, compared to the PET component when reading the 18F-FDG PET/MRI. Results Based on MRI alone, BM were detected in 15 out of the 83 patients, comprising a total of 39 metastases. Based on PET alone, six patients out of the 83 patients were rated positive for metastatic disease, revealing a total of 15 metastases. PET detected no additional BM. The size of the BM correlated positively with sensitivity of detection in PET. Conclusion The sensitivity of PET in detection of BM depends on their size. 18F-FDG PET/MRI does not lead to an improvement in diagnostic accuracy in cerebral staging of NSCLC patients, as MRI alone remains the gold standard.","author":[{"dropping-particle":"","family":"Deuschl","given":"Cornelius","non-dropping-particle":"","parse-names":false,"suffix":""},{"dropping-particle":"","family":"Nensa","given":"Felix","non-dropping-particle":"","parse-names":false,"suffix":""},{"dropping-particle":"","family":"Grueneisen","given":"Johannes","non-dropping-particle":"","parse-names":false,"suffix":""},{"dropping-particle":"","family":"Poeppel","given":"Thorsten D.","non-dropping-particle":"","parse-names":false,"suffix":""},{"dropping-particle":"","family":"Sawicki","given":"Lino M.","non-dropping-particle":"","parse-names":false,"suffix":""},{"dropping-particle":"","family":"Heusch","given":"Philipp","non-dropping-particle":"","parse-names":false,"suffix":""},{"dropping-particle":"","family":"Gramsch","given":"Carolin","non-dropping-particle":"","parse-names":false,"suffix":""},{"dropping-particle":"","family":"Mönninghoff","given":"Christoph","non-dropping-particle":"","parse-names":false,"suffix":""},{"dropping-particle":"","family":"Quick","given":"Harald H.","non-dropping-particle":"","parse-names":false,"suffix":""},{"dropping-particle":"","family":"Forsting","given":"Michael","non-dropping-particle":"","parse-names":false,"suffix":""},{"dropping-particle":"","family":"Umutlu","given":"Lale","non-dropping-particle":"","parse-names":false,"suffix":""},{"dropping-particle":"","family":"Schlamann","given":"Marc","non-dropping-particle":"","parse-names":false,"suffix":""}],"container-title":"Acta Radiologica","id":"ITEM-1","issue":"8","issued":{"date-parts":[["2017","8","1"]]},"page":"991-996","publisher":"SAGE Publications Inc.","title":"Diagnostic impact of integrated 18F-FDG PET/MRI in cerebral staging of patients with non-small cell lung cancer","type":"article-journal","volume":"58"},"uris":["http://www.mendeley.com/documents/?uuid=60e30612-5397-3d2e-9d08-29eda424440d"]}],"mendeley":{"formattedCitation":"&lt;sup&gt;1&lt;/sup&gt;","plainTextFormattedCitation":"1","previouslyFormattedCitation":"&lt;sup&gt;1&lt;/sup&gt;"},"properties":{"noteIndex":0},"schema":"https://github.com/citation-style-language/schema/raw/master/csl-citation.json"}</w:instrText>
      </w:r>
      <w:r w:rsidR="004B408B">
        <w:rPr>
          <w:rFonts w:ascii="Arial" w:hAnsi="Arial" w:cs="Arial"/>
          <w:sz w:val="24"/>
          <w:szCs w:val="24"/>
        </w:rPr>
        <w:fldChar w:fldCharType="separate"/>
      </w:r>
      <w:r w:rsidR="004B408B" w:rsidRPr="004B408B">
        <w:rPr>
          <w:rFonts w:ascii="Arial" w:hAnsi="Arial" w:cs="Arial"/>
          <w:noProof/>
          <w:sz w:val="24"/>
          <w:szCs w:val="24"/>
          <w:vertAlign w:val="superscript"/>
        </w:rPr>
        <w:t>1</w:t>
      </w:r>
      <w:r w:rsidR="004B408B">
        <w:rPr>
          <w:rFonts w:ascii="Arial" w:hAnsi="Arial" w:cs="Arial"/>
          <w:sz w:val="24"/>
          <w:szCs w:val="24"/>
        </w:rPr>
        <w:fldChar w:fldCharType="end"/>
      </w:r>
    </w:p>
    <w:p w14:paraId="5194E308" w14:textId="67F5CA21" w:rsidR="00CE6A2D" w:rsidRDefault="00CE6A2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p>
    <w:p w14:paraId="5B584701" w14:textId="5B1A8578" w:rsidR="006C014F" w:rsidRDefault="006C014F"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b/>
          <w:color w:val="000000"/>
          <w:lang w:val="de-AT" w:eastAsia="de-AT"/>
        </w:rPr>
      </w:pPr>
      <w:r>
        <w:rPr>
          <w:rFonts w:eastAsia="Times New Roman"/>
          <w:b/>
          <w:color w:val="000000"/>
          <w:lang w:val="de-AT" w:eastAsia="de-AT"/>
        </w:rPr>
        <w:t>Moderne</w:t>
      </w:r>
      <w:r w:rsidRPr="006C014F">
        <w:rPr>
          <w:rFonts w:eastAsia="Times New Roman"/>
          <w:b/>
          <w:color w:val="000000"/>
          <w:lang w:val="de-AT" w:eastAsia="de-AT"/>
        </w:rPr>
        <w:t xml:space="preserve"> pathologische Diagnostik</w:t>
      </w:r>
    </w:p>
    <w:p w14:paraId="237F2BE8" w14:textId="066F2645" w:rsidR="006C014F" w:rsidRPr="006C014F" w:rsidRDefault="00450B64"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b/>
          <w:color w:val="000000"/>
          <w:lang w:val="de-AT" w:eastAsia="de-AT"/>
        </w:rPr>
      </w:pPr>
      <w:r>
        <w:rPr>
          <w:rFonts w:eastAsia="Times New Roman"/>
          <w:b/>
          <w:color w:val="000000"/>
          <w:lang w:val="de-AT" w:eastAsia="de-AT"/>
        </w:rPr>
        <w:t xml:space="preserve">PD Scheel </w:t>
      </w:r>
    </w:p>
    <w:p w14:paraId="3B34D3CE" w14:textId="77777777" w:rsidR="006C014F" w:rsidRPr="000F2811" w:rsidRDefault="006C014F"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p>
    <w:p w14:paraId="57D6920E" w14:textId="6838DFB8" w:rsidR="00CE6A2D" w:rsidRPr="002E5E5B" w:rsidRDefault="00E13AF2"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b/>
          <w:color w:val="000000"/>
          <w:lang w:val="de-DE" w:eastAsia="de-AT"/>
        </w:rPr>
      </w:pPr>
      <w:r w:rsidRPr="002E5E5B">
        <w:rPr>
          <w:rFonts w:eastAsia="Times New Roman"/>
          <w:b/>
          <w:color w:val="000000"/>
          <w:lang w:val="de-DE" w:eastAsia="de-AT"/>
        </w:rPr>
        <w:t xml:space="preserve">Therapiemonitoring mittels </w:t>
      </w:r>
      <w:r w:rsidR="000D6A32">
        <w:rPr>
          <w:rFonts w:eastAsia="Times New Roman"/>
          <w:b/>
          <w:color w:val="000000"/>
          <w:lang w:val="de-DE" w:eastAsia="de-AT"/>
        </w:rPr>
        <w:t>m</w:t>
      </w:r>
      <w:r w:rsidR="000D6A32" w:rsidRPr="002E5E5B">
        <w:rPr>
          <w:rFonts w:eastAsia="Times New Roman"/>
          <w:b/>
          <w:color w:val="000000"/>
          <w:lang w:val="de-DE" w:eastAsia="de-AT"/>
        </w:rPr>
        <w:t xml:space="preserve">olekularer </w:t>
      </w:r>
      <w:r w:rsidR="00CE6A2D" w:rsidRPr="002E5E5B">
        <w:rPr>
          <w:rFonts w:eastAsia="Times New Roman"/>
          <w:b/>
          <w:color w:val="000000"/>
          <w:lang w:val="de-DE" w:eastAsia="de-AT"/>
        </w:rPr>
        <w:t xml:space="preserve">bzw. </w:t>
      </w:r>
      <w:r w:rsidR="000D6A32">
        <w:rPr>
          <w:rFonts w:eastAsia="Times New Roman"/>
          <w:b/>
          <w:color w:val="000000"/>
          <w:lang w:val="de-DE" w:eastAsia="de-AT"/>
        </w:rPr>
        <w:t>m</w:t>
      </w:r>
      <w:r w:rsidR="000D6A32" w:rsidRPr="002E5E5B">
        <w:rPr>
          <w:rFonts w:eastAsia="Times New Roman"/>
          <w:b/>
          <w:color w:val="000000"/>
          <w:lang w:val="de-DE" w:eastAsia="de-AT"/>
        </w:rPr>
        <w:t xml:space="preserve">etabolischer </w:t>
      </w:r>
      <w:r w:rsidR="00CE6A2D" w:rsidRPr="002E5E5B">
        <w:rPr>
          <w:rFonts w:eastAsia="Times New Roman"/>
          <w:b/>
          <w:color w:val="000000"/>
          <w:lang w:val="de-DE" w:eastAsia="de-AT"/>
        </w:rPr>
        <w:t>PET</w:t>
      </w:r>
      <w:r w:rsidRPr="002E5E5B">
        <w:rPr>
          <w:rFonts w:eastAsia="Times New Roman"/>
          <w:b/>
          <w:color w:val="000000"/>
          <w:lang w:val="de-DE" w:eastAsia="de-AT"/>
        </w:rPr>
        <w:t>-</w:t>
      </w:r>
      <w:r w:rsidR="00CE6A2D" w:rsidRPr="002E5E5B">
        <w:rPr>
          <w:rFonts w:eastAsia="Times New Roman"/>
          <w:b/>
          <w:color w:val="000000"/>
          <w:lang w:val="de-DE" w:eastAsia="de-AT"/>
        </w:rPr>
        <w:t xml:space="preserve">Bildgebung </w:t>
      </w:r>
    </w:p>
    <w:p w14:paraId="5DAE0F5B" w14:textId="01F991CE" w:rsidR="00CE6A2D" w:rsidRPr="000F2811" w:rsidRDefault="00CE6A2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DE" w:eastAsia="de-AT"/>
        </w:rPr>
      </w:pPr>
      <w:r w:rsidRPr="000F2811">
        <w:rPr>
          <w:rFonts w:eastAsia="Times New Roman"/>
          <w:color w:val="000000"/>
          <w:lang w:val="de-DE" w:eastAsia="de-AT"/>
        </w:rPr>
        <w:t>Die Positronen-Emissions-Tomographie unter Verwendung von [</w:t>
      </w:r>
      <w:r w:rsidRPr="000F2811">
        <w:rPr>
          <w:rFonts w:eastAsia="Times New Roman"/>
          <w:color w:val="000000"/>
          <w:vertAlign w:val="superscript"/>
          <w:lang w:val="de-DE" w:eastAsia="de-AT"/>
        </w:rPr>
        <w:t>18</w:t>
      </w:r>
      <w:r w:rsidRPr="000F2811">
        <w:rPr>
          <w:rFonts w:eastAsia="Times New Roman"/>
          <w:color w:val="000000"/>
          <w:lang w:val="de-DE" w:eastAsia="de-AT"/>
        </w:rPr>
        <w:t>F]-2-Fluoro-2-deoxy-D-glu</w:t>
      </w:r>
      <w:r w:rsidR="00E13AF2" w:rsidRPr="000F2811">
        <w:rPr>
          <w:rFonts w:eastAsia="Times New Roman"/>
          <w:color w:val="000000"/>
          <w:lang w:val="de-DE" w:eastAsia="de-AT"/>
        </w:rPr>
        <w:t>k</w:t>
      </w:r>
      <w:r w:rsidRPr="000F2811">
        <w:rPr>
          <w:rFonts w:eastAsia="Times New Roman"/>
          <w:color w:val="000000"/>
          <w:lang w:val="de-DE" w:eastAsia="de-AT"/>
        </w:rPr>
        <w:t xml:space="preserve">ose (FDG PET) stellt den am häufigsten verwendeten Tracer in der extrakraniellen onkologischen PET-Bildgebung dar und hilft, die Genauigkeit des Stagings zu erhöhen. Es konnte insbesondere bei </w:t>
      </w:r>
      <w:r w:rsidR="00E13AF2" w:rsidRPr="000F2811">
        <w:rPr>
          <w:rFonts w:eastAsia="Times New Roman"/>
          <w:color w:val="000000"/>
          <w:lang w:val="de-DE" w:eastAsia="de-AT"/>
        </w:rPr>
        <w:t>Hirnmetastasen</w:t>
      </w:r>
      <w:r w:rsidRPr="000F2811">
        <w:rPr>
          <w:rFonts w:eastAsia="Times New Roman"/>
          <w:color w:val="000000"/>
          <w:lang w:val="de-DE" w:eastAsia="de-AT"/>
        </w:rPr>
        <w:t>-Patienten mit CUP-Syndrom gezeigt werden, dass signifikant mehr extrakranielle Metastasen als im Vergleich zur CT erkannt werden können</w:t>
      </w:r>
      <w:r w:rsidR="00D14293">
        <w:rPr>
          <w:rFonts w:eastAsia="Times New Roman"/>
          <w:color w:val="000000"/>
          <w:lang w:val="de-DE" w:eastAsia="de-AT"/>
        </w:rPr>
        <w:t>.</w:t>
      </w:r>
      <w:r w:rsidR="00D14293">
        <w:rPr>
          <w:rFonts w:eastAsia="Times New Roman"/>
          <w:color w:val="000000"/>
          <w:lang w:val="de-DE" w:eastAsia="de-AT"/>
        </w:rPr>
        <w:fldChar w:fldCharType="begin" w:fldLock="1"/>
      </w:r>
      <w:r w:rsidR="004B408B">
        <w:rPr>
          <w:rFonts w:eastAsia="Times New Roman"/>
          <w:color w:val="000000"/>
          <w:lang w:val="de-DE" w:eastAsia="de-AT"/>
        </w:rPr>
        <w:instrText>ADDIN CSL_CITATION {"citationItems":[{"id":"ITEM-1","itemData":{"DOI":"10.1016/j.ejca.2018.03.010","ISSN":"18790852","PMID":"29677642","abstract":"Background: In 30% of patients with brain metastasis (BM), neurological symptoms are the first clinical manifestation of systemic malignancy, referred to as BM from cancer of unknown primary site (BM-CUPS). Here, we define the diagnostic value of 18F-fluordesoxyglucose positron emission tomography (FDG-PET/CT) in the workup of BM-CUPS. Methods: We screened 565 patients operated for BM at the University Hospital Zurich and identified 64 patients with BM-CUPS with data on both FDG-PET/CT and contrast-enhanced chest/abdomen computed tomography (CT) available at BM diagnosis. A cohort of 125 patients with BM-CUPS from Lille and Vienna was used for validation. Results: FDG-PET/CT was not superior to chest/abdomen CT in localising the primary lesion in the discovery cohort, presumably because most primary tumours were lung cancers. However, FDG-PET/CT identified additional lesions suspicious of extracranial metastases in 27 of 64 patients (42%). The inclusion of FDG-PET/CT findings shifted the graded prognostic assessment (GPA) score from 3 with CT alone to 2.5 for PET/CT (p = 3.8 × 10−5, Wilcoxon's test), resulting in a predicted survival of 5.3 versus 3.8 months (p = 6.1 × 10−5; Wilcoxon's test). All observations were confirmed in the validation cohort. Conclusions: Lung cancers are the most common primary tumour in BM-CUPS; accordingly, CT alone shows similar overall sensitivity for detecting the primary tumour as FDG-PET/CT. Yet, FDG-PET/CT improves the accuracy of staging by detecting more metastases, reflected by decreased GPA scores and decreased predicted survival. Therefore, randomised trials on patients with BM should standardise methods of staging, notably when stratifying for GPA.","author":[{"dropping-particle":"","family":"Wolpert","given":"Fabian","non-dropping-particle":"","parse-names":false,"suffix":""},{"dropping-particle":"","family":"Weller","given":"Michael","non-dropping-particle":"","parse-names":false,"suffix":""},{"dropping-particle":"","family":"Berghoff","given":"Anna Sophie","non-dropping-particle":"","parse-names":false,"suffix":""},{"dropping-particle":"","family":"Rushing","given":"Elisabeth","non-dropping-particle":"","parse-names":false,"suffix":""},{"dropping-particle":"","family":"Füreder","given":"Lisa Michaela","non-dropping-particle":"","parse-names":false,"suffix":""},{"dropping-particle":"","family":"Petyt","given":"Gregory","non-dropping-particle":"","parse-names":false,"suffix":""},{"dropping-particle":"","family":"Leske","given":"Henning","non-dropping-particle":"","parse-names":false,"suffix":""},{"dropping-particle":"","family":"Andratschke","given":"Nicolaus","non-dropping-particle":"","parse-names":false,"suffix":""},{"dropping-particle":"","family":"Regli","given":"Luca","non-dropping-particle":"","parse-names":false,"suffix":""},{"dropping-particle":"","family":"Neidert","given":"Marian Christoph","non-dropping-particle":"","parse-names":false,"suffix":""},{"dropping-particle":"","family":"Stupp","given":"Roger","non-dropping-particle":"","parse-names":false,"suffix":""},{"dropping-particle":"","family":"Stahel","given":"Rolf","non-dropping-particle":"","parse-names":false,"suffix":""},{"dropping-particle":"","family":"Dummer","given":"Reinhard","non-dropping-particle":"","parse-names":false,"suffix":""},{"dropping-particle":"","family":"Frauenfelder","given":"Thomas","non-dropping-particle":"","parse-names":false,"suffix":""},{"dropping-particle":"","family":"Roth","given":"Patrick","non-dropping-particle":"","parse-names":false,"suffix":""},{"dropping-particle":"","family":"Reyns","given":"Nicolas","non-dropping-particle":"","parse-names":false,"suffix":""},{"dropping-particle":"","family":"Kaufmann","given":"Philipp Antonio","non-dropping-particle":"","parse-names":false,"suffix":""},{"dropping-particle":"","family":"Preusser","given":"Matthias","non-dropping-particle":"","parse-names":false,"suffix":""},{"dropping-particle":"","family":"Rhun","given":"Emilie","non-dropping-particle":"Le","parse-names":false,"suffix":""}],"container-title":"European Journal of Cancer","id":"ITEM-1","issued":{"date-parts":[["2018","6","1"]]},"page":"64-72","publisher":"Elsevier Ltd","title":"Diagnostic value of 18F-fluordesoxyglucose positron emission tomography for patients with brain metastasis from unknown primary site","type":"article-journal","volume":"96"},"uris":["http://www.mendeley.com/documents/?uuid=9ee512a5-fbac-3746-bd88-6f0aac1e5896"]}],"mendeley":{"formattedCitation":"&lt;sup&gt;2&lt;/sup&gt;","plainTextFormattedCitation":"2","previouslyFormattedCitation":"&lt;sup&gt;2&lt;/sup&gt;"},"properties":{"noteIndex":0},"schema":"https://github.com/citation-style-language/schema/raw/master/csl-citation.json"}</w:instrText>
      </w:r>
      <w:r w:rsidR="00D14293">
        <w:rPr>
          <w:rFonts w:eastAsia="Times New Roman"/>
          <w:color w:val="000000"/>
          <w:lang w:val="de-DE" w:eastAsia="de-AT"/>
        </w:rPr>
        <w:fldChar w:fldCharType="separate"/>
      </w:r>
      <w:r w:rsidR="004B408B" w:rsidRPr="004B408B">
        <w:rPr>
          <w:rFonts w:eastAsia="Times New Roman"/>
          <w:noProof/>
          <w:color w:val="000000"/>
          <w:vertAlign w:val="superscript"/>
          <w:lang w:val="de-DE" w:eastAsia="de-AT"/>
        </w:rPr>
        <w:t>2</w:t>
      </w:r>
      <w:r w:rsidR="00D14293">
        <w:rPr>
          <w:rFonts w:eastAsia="Times New Roman"/>
          <w:color w:val="000000"/>
          <w:lang w:val="de-DE" w:eastAsia="de-AT"/>
        </w:rPr>
        <w:fldChar w:fldCharType="end"/>
      </w:r>
      <w:r w:rsidRPr="000F2811">
        <w:rPr>
          <w:rFonts w:eastAsia="Times New Roman"/>
          <w:color w:val="000000"/>
          <w:lang w:val="de-DE" w:eastAsia="de-AT"/>
        </w:rPr>
        <w:t xml:space="preserve"> Im Gehirn behindert jedoch der regional hohe Glukose-Verbrauch die Sensitivität der FDG PET für die </w:t>
      </w:r>
      <w:r w:rsidR="00E13AF2" w:rsidRPr="000F2811">
        <w:rPr>
          <w:rFonts w:eastAsia="Times New Roman"/>
          <w:color w:val="000000"/>
          <w:lang w:val="de-DE" w:eastAsia="de-AT"/>
        </w:rPr>
        <w:t>Hirnmetastasen</w:t>
      </w:r>
      <w:r w:rsidRPr="000F2811">
        <w:rPr>
          <w:rFonts w:eastAsia="Times New Roman"/>
          <w:color w:val="000000"/>
          <w:lang w:val="de-DE" w:eastAsia="de-AT"/>
        </w:rPr>
        <w:t xml:space="preserve">-Detektion erheblich. </w:t>
      </w:r>
    </w:p>
    <w:p w14:paraId="24A7DD10" w14:textId="2E48C095" w:rsidR="00CE6A2D" w:rsidRPr="000F2811" w:rsidRDefault="00CE6A2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DE" w:eastAsia="de-AT"/>
        </w:rPr>
      </w:pPr>
      <w:r w:rsidRPr="000F2811">
        <w:rPr>
          <w:rFonts w:eastAsia="Times New Roman"/>
          <w:color w:val="000000"/>
          <w:lang w:val="de-DE" w:eastAsia="de-AT"/>
        </w:rPr>
        <w:lastRenderedPageBreak/>
        <w:t xml:space="preserve">In den letzten Jahren haben PET-Studien mit radioaktiv markierten Aminosäuren nahegelegt, dass diese Technik im Vergleich zur anatomischen MRT einen zusätzlichen diagnostischen Wert hat und der FDG PET bei Patienten mit </w:t>
      </w:r>
      <w:r w:rsidR="006549E5" w:rsidRPr="000F2811">
        <w:rPr>
          <w:rFonts w:eastAsia="Times New Roman"/>
          <w:color w:val="000000"/>
          <w:lang w:val="de-DE" w:eastAsia="de-AT"/>
        </w:rPr>
        <w:t>Hirnmetastasen</w:t>
      </w:r>
      <w:r w:rsidRPr="000F2811">
        <w:rPr>
          <w:rFonts w:eastAsia="Times New Roman"/>
          <w:color w:val="000000"/>
          <w:lang w:val="de-DE" w:eastAsia="de-AT"/>
        </w:rPr>
        <w:t xml:space="preserve"> klar überlegen ist, was u.a. durch die Experten-Arbeitsgruppe RANO (Response Assessment in Neuro-Oncology) herausgestellt wurde</w:t>
      </w:r>
      <w:r w:rsidR="00D14293">
        <w:rPr>
          <w:rFonts w:eastAsia="Times New Roman"/>
          <w:color w:val="000000"/>
          <w:lang w:val="de-DE" w:eastAsia="de-AT"/>
        </w:rPr>
        <w:t>.</w:t>
      </w:r>
      <w:r w:rsidR="00D14293">
        <w:rPr>
          <w:rFonts w:eastAsia="Times New Roman"/>
          <w:color w:val="000000"/>
          <w:lang w:val="de-DE" w:eastAsia="de-AT"/>
        </w:rPr>
        <w:fldChar w:fldCharType="begin" w:fldLock="1"/>
      </w:r>
      <w:r w:rsidR="004B408B">
        <w:rPr>
          <w:rFonts w:eastAsia="Times New Roman"/>
          <w:color w:val="000000"/>
          <w:lang w:val="de-DE" w:eastAsia="de-AT"/>
        </w:rPr>
        <w:instrText>ADDIN CSL_CITATION {"citationItems":[{"id":"ITEM-1","itemData":{"DOI":"10.1093/neuonc/noz003","ISSN":"15235866","PMID":"30615138","abstract":"Brain metastases (BM) from extracranial cancer are associated with significant morbidity and mortality. Effective local treatment options are stereotactic radiotherapy, including radiosurgery or fractionated external beam radiotherapy, and surgical resection.The use of systemic treatment for intracranial disease control also is improving. BM diagnosis, treatment planning, and follow-up is most often based on contrast-enhanced magnetic resonance imaging (MRI). However, anatomic imaging modalities including standard MRI have limitations in accurately characterizing posttherapeutic reactive changes and treatment response. Molecular imaging techniques such as positron emission tomography (PET) characterize specific metabolic and cellular features of metastases, potentially providing clinically relevant information supplementing anatomic MRI. Here, the Response Assessment in Neuro-Oncology working group provides recommendations for the use of PET imaging in the clinical management of patients with BM based on evidence from studies validated by histology and/or clinical outcome.","author":[{"dropping-particle":"","family":"Galldiks","given":"Norbert","non-dropping-particle":"","parse-names":false,"suffix":""},{"dropping-particle":"","family":"Langen","given":"Karl Josef","non-dropping-particle":"","parse-names":false,"suffix":""},{"dropping-particle":"","family":"Albert","given":"Nathalie L.","non-dropping-particle":"","parse-names":false,"suffix":""},{"dropping-particle":"","family":"Chamberlain","given":"Marc","non-dropping-particle":"","parse-names":false,"suffix":""},{"dropping-particle":"","family":"Soffietti","given":"Riccardo","non-dropping-particle":"","parse-names":false,"suffix":""},{"dropping-particle":"","family":"Kim","given":"Michelle M.","non-dropping-particle":"","parse-names":false,"suffix":""},{"dropping-particle":"","family":"Law","given":"Ian","non-dropping-particle":"","parse-names":false,"suffix":""},{"dropping-particle":"","family":"Rhun","given":"Emilie","non-dropping-particle":"Le","parse-names":false,"suffix":""},{"dropping-particle":"","family":"Chang","given":"Susan","non-dropping-particle":"","parse-names":false,"suffix":""},{"dropping-particle":"","family":"Schwarting","given":"Julian","non-dropping-particle":"","parse-names":false,"suffix":""},{"dropping-particle":"","family":"Combs","given":"Stephanie E.","non-dropping-particle":"","parse-names":false,"suffix":""},{"dropping-particle":"","family":"Preusser","given":"Matthias","non-dropping-particle":"","parse-names":false,"suffix":""},{"dropping-particle":"","family":"Forsyth","given":"Peter","non-dropping-particle":"","parse-names":false,"suffix":""},{"dropping-particle":"","family":"Pope","given":"Whitney","non-dropping-particle":"","parse-names":false,"suffix":""},{"dropping-particle":"","family":"Weller","given":"Michael","non-dropping-particle":"","parse-names":false,"suffix":""},{"dropping-particle":"","family":"Tonn","given":"Jörg C.","non-dropping-particle":"","parse-names":false,"suffix":""}],"container-title":"Neuro-Oncology","id":"ITEM-1","issue":"5","issued":{"date-parts":[["2019","5","1"]]},"page":"584-595","publisher":"Oxford University Press","title":"PET imaging in patients with brain metastasis—report of the RANO/PET group","type":"article-journal","volume":"21"},"uris":["http://www.mendeley.com/documents/?uuid=a89ef54d-a10a-3e3a-8317-4f40c232e934"]}],"mendeley":{"formattedCitation":"&lt;sup&gt;3&lt;/sup&gt;","plainTextFormattedCitation":"3","previouslyFormattedCitation":"&lt;sup&gt;3&lt;/sup&gt;"},"properties":{"noteIndex":0},"schema":"https://github.com/citation-style-language/schema/raw/master/csl-citation.json"}</w:instrText>
      </w:r>
      <w:r w:rsidR="00D14293">
        <w:rPr>
          <w:rFonts w:eastAsia="Times New Roman"/>
          <w:color w:val="000000"/>
          <w:lang w:val="de-DE" w:eastAsia="de-AT"/>
        </w:rPr>
        <w:fldChar w:fldCharType="separate"/>
      </w:r>
      <w:r w:rsidR="004B408B" w:rsidRPr="004B408B">
        <w:rPr>
          <w:rFonts w:eastAsia="Times New Roman"/>
          <w:noProof/>
          <w:color w:val="000000"/>
          <w:vertAlign w:val="superscript"/>
          <w:lang w:val="de-DE" w:eastAsia="de-AT"/>
        </w:rPr>
        <w:t>3</w:t>
      </w:r>
      <w:r w:rsidR="00D14293">
        <w:rPr>
          <w:rFonts w:eastAsia="Times New Roman"/>
          <w:color w:val="000000"/>
          <w:lang w:val="de-DE" w:eastAsia="de-AT"/>
        </w:rPr>
        <w:fldChar w:fldCharType="end"/>
      </w:r>
      <w:r w:rsidRPr="000F2811">
        <w:rPr>
          <w:rFonts w:eastAsia="Times New Roman"/>
          <w:color w:val="000000"/>
          <w:lang w:val="de-DE" w:eastAsia="de-AT"/>
        </w:rPr>
        <w:t xml:space="preserve"> Bislang wurden Aminosäure-PET-Tracer wie [</w:t>
      </w:r>
      <w:r w:rsidRPr="000F2811">
        <w:rPr>
          <w:rFonts w:eastAsia="Times New Roman"/>
          <w:color w:val="000000"/>
          <w:vertAlign w:val="superscript"/>
          <w:lang w:val="de-DE" w:eastAsia="de-AT"/>
        </w:rPr>
        <w:t>11</w:t>
      </w:r>
      <w:r w:rsidRPr="000F2811">
        <w:rPr>
          <w:rFonts w:eastAsia="Times New Roman"/>
          <w:color w:val="000000"/>
          <w:lang w:val="de-DE" w:eastAsia="de-AT"/>
        </w:rPr>
        <w:t>C]-Methyl-L-Methionin (MET), 3,4-Dihydroxy-6-[18F]-fluor-L-phenylalanin (FDOPA) oder O-(2-[</w:t>
      </w:r>
      <w:r w:rsidRPr="000F2811">
        <w:rPr>
          <w:rFonts w:eastAsia="Times New Roman"/>
          <w:color w:val="000000"/>
          <w:vertAlign w:val="superscript"/>
          <w:lang w:val="de-DE" w:eastAsia="de-AT"/>
        </w:rPr>
        <w:t>18</w:t>
      </w:r>
      <w:r w:rsidRPr="000F2811">
        <w:rPr>
          <w:rFonts w:eastAsia="Times New Roman"/>
          <w:color w:val="000000"/>
          <w:lang w:val="de-DE" w:eastAsia="de-AT"/>
        </w:rPr>
        <w:t xml:space="preserve">F]Fluorethyl)-L-tyrosin (FET) am häufigsten für die Differenzierung zwischen lokalen </w:t>
      </w:r>
      <w:r w:rsidR="006549E5" w:rsidRPr="000F2811">
        <w:rPr>
          <w:rFonts w:eastAsia="Times New Roman"/>
          <w:color w:val="000000"/>
          <w:lang w:val="de-DE" w:eastAsia="de-AT"/>
        </w:rPr>
        <w:t>Hirnmetastasen</w:t>
      </w:r>
      <w:r w:rsidRPr="000F2811">
        <w:rPr>
          <w:rFonts w:eastAsia="Times New Roman"/>
          <w:color w:val="000000"/>
          <w:lang w:val="de-DE" w:eastAsia="de-AT"/>
        </w:rPr>
        <w:t>-Rezidiven und radiogenen Veränderungen (v.a. Radionekrose) nach radiochirurgischen Eingriffen untersucht. Bei all diesen Aminosäure-PET-Tracern liegen sowohl die Sensitivität als auch die Spezifität für eine korrekte Differenzierung im Bereich von 80-90% (siehe Abbildung).</w:t>
      </w:r>
      <w:r w:rsidR="00D14293">
        <w:rPr>
          <w:rFonts w:eastAsia="Times New Roman"/>
          <w:color w:val="000000"/>
          <w:lang w:val="de-DE" w:eastAsia="de-AT"/>
        </w:rPr>
        <w:fldChar w:fldCharType="begin" w:fldLock="1"/>
      </w:r>
      <w:r w:rsidR="004B408B">
        <w:rPr>
          <w:rFonts w:eastAsia="Times New Roman"/>
          <w:color w:val="000000"/>
          <w:lang w:val="de-DE" w:eastAsia="de-AT"/>
        </w:rPr>
        <w:instrText>ADDIN CSL_CITATION {"citationItems":[{"id":"ITEM-1","itemData":{"DOI":"10.1093/neuonc/now149","ISSN":"15235866","PMID":"27471107","abstract":"Background: The aim of this study was to investigate the potential of dynamic O-(2-[18F]fluoroethyl)-L-tyrosine (18FFET) PET for differentiating local recurrent brain metastasis from radiation injury after radiotherapy since contrastenhanced MRI often remains inconclusive. Methods: Sixty-two patients (mean age, 55 ± 11 y) with single or multiple contrast-enhancing brain lesions (n = 76) on MRI after radiotherapy of brain metastases (predominantly stereotactic radiosurgery) were investigated with dynamic 18F-FET PET. Maximum and mean tumor-to-brain ratios (TBRmax, TBRmean) of 18F-FET uptake were determined (20-40 min postinjection) as well as tracer uptake kinetics (ie, time-to-peak and slope of time-activity curves). Diagnoses were confirmed histologically (34%; 26 lesions in 25 patients) or by clinical follow-up (66%; 50 lesions in 37 patients). Diagnostic accuracies of PET parameters for the correct identification of recurrent brain metastasis were evaluated by receiver-operating-characteristic analyses or the chi-square test. Results: TBRs were significantly higher in recurrent metastases (n = 36) than in radiation injuries (n = 40) (TBRmax 3.3 ± 1.0 vs 2.2 ± 0.4, P &lt;.001; TBRmean 2.2 ± 0.4 vs 1.7 ± 0.3, P &lt;.001). The highest accuracy (88%) for diagnosing local recurrent metastasis could be obtained with TBRs in combination with the slope of time-activity curves (P &lt;.001). Conclusions: The results of this study confirm previous preliminary observations that the combined evaluation of the TBRs of 18F-FET uptake and the slope of time-activity curves can differentiate local brain metastasis recurrence from radiation-induced changes with high accuracy. 18F-FET PET may thus contribute significantly to the management of patients with brain metastases.","author":[{"dropping-particle":"","family":"Ceccon","given":"Garry","non-dropping-particle":"","parse-names":false,"suffix":""},{"dropping-particle":"","family":"Lohmann","given":"Philipp","non-dropping-particle":"","parse-names":false,"suffix":""},{"dropping-particle":"","family":"Stoffels","given":"Gabriele","non-dropping-particle":"","parse-names":false,"suffix":""},{"dropping-particle":"","family":"Judov","given":"Natalie","non-dropping-particle":"","parse-names":false,"suffix":""},{"dropping-particle":"","family":"Filss","given":"Christian P.","non-dropping-particle":"","parse-names":false,"suffix":""},{"dropping-particle":"","family":"Rapp","given":"Marion","non-dropping-particle":"","parse-names":false,"suffix":""},{"dropping-particle":"","family":"Bauer","given":"Elena","non-dropping-particle":"","parse-names":false,"suffix":""},{"dropping-particle":"","family":"Hamisch","given":"Christina","non-dropping-particle":"","parse-names":false,"suffix":""},{"dropping-particle":"","family":"Ruge","given":"Maximilian I.","non-dropping-particle":"","parse-names":false,"suffix":""},{"dropping-particle":"","family":"Kocher","given":"Martin","non-dropping-particle":"","parse-names":false,"suffix":""},{"dropping-particle":"","family":"Kuchelmeister","given":"Klaus","non-dropping-particle":"","parse-names":false,"suffix":""},{"dropping-particle":"","family":"Sellhaus","given":"Bernd","non-dropping-particle":"","parse-names":false,"suffix":""},{"dropping-particle":"","family":"Sabel","given":"Michael","non-dropping-particle":"","parse-names":false,"suffix":""},{"dropping-particle":"","family":"Fink","given":"Gereon R.","non-dropping-particle":"","parse-names":false,"suffix":""},{"dropping-particle":"","family":"Shah","given":"Nadim J.","non-dropping-particle":"","parse-names":false,"suffix":""},{"dropping-particle":"","family":"Langen","given":"Karl Josef","non-dropping-particle":"","parse-names":false,"suffix":""},{"dropping-particle":"","family":"Galldiks","given":"Norbert","non-dropping-particle":"","parse-names":false,"suffix":""}],"container-title":"Neuro-Oncology","id":"ITEM-1","issue":"2","issued":{"date-parts":[["2017"]]},"page":"281-288","publisher":"Oxford University Press","title":"Dynamic O-(2-18F-fluoroethyl)-L-tyrosine positron emission tomography differentiates brain metastasis recurrence from radiation injury after radiotherapy","type":"article-journal","volume":"19"},"uris":["http://www.mendeley.com/documents/?uuid=2566add4-1804-3699-b3c8-2d01fed7291d"]},{"id":"ITEM-2","itemData":{"DOI":"10.1007/s00259-014-2886-4","ISSN":"16197089","PMID":"25182751","abstract":"Purpose: We assessed the performance of 6-[18F]-fluoro-l-3,4-dihydroxyphenylalanine (F-DOPA) PET for differentiating radionecrosis (RN) from tumour progression (PD) in a population of patients with brain metastases, treated with stereotactic radiosurgery. The accuracy of F-DOPA PET was compared with that of perfusion-weighted magnetic resonance (perfusion-MR).\nMethods: In 42 patients with a total of 50 brain metastases from various primaries F-DOPA PET/CT was performed because of suspected radiological progression at the site of previously irradiated brain metastasis. Several semiquantitative PET parameters were recorded, and their diagnostic accuracy was compared by receiver operating characteristic curve analyses. The diagnosis was established by either surgery or follow-up. A comparison was made between F-DOPA PET and perfusion-MR sequences acquired no more than 3 weeks apart.\nResults: Definitive outcome was available in 46 of the 50 lesions (20 PD, 26 RN). Of the 46 lesions, 11 were surgically excised while in the remaining 35 lesions the diagnosis was established by radiological and clinical criteria. The best diagnostic performance was obtained using the semiquantitative PET parameter maximum lesion to maximum background uptake ratio (SUVLmax/Bkgrmax). With a cut-off value of 1.59, a sensitivity of 90 % and a specificity of 92.3 % were achieved in differentiating RN from PD lesions (accuracy 91.3 %). Relative cerebral blood volume (rCBV) derived from perfusion-MR was available for comparison in 37 of the 46 metastases. Overall accuracy of rCBV was lower than that of all semiquantitative PET parameters under study. The best differentiating rCBV cut-off value was 2.14; this yielded a sensitivity of 86.7 % and a specificity of 68.2 % (accuracy 75.6 %).\nConclusion: F-DOPA PET is a highly accurate tool for differentiating RN from PD brain metastases after stereotactic radiosurgery. In this specific setting, F-DOPA PET seems to perform better than perfusion-MR.","author":[{"dropping-particle":"","family":"Cicone","given":"Francesco","non-dropping-particle":"","parse-names":false,"suffix":""},{"dropping-particle":"","family":"Minniti","given":"Giuseppe","non-dropping-particle":"","parse-names":false,"suffix":""},{"dropping-particle":"","family":"Romano","given":"Andrea","non-dropping-particle":"","parse-names":false,"suffix":""},{"dropping-particle":"","family":"Papa","given":"Annalisa","non-dropping-particle":"","parse-names":false,"suffix":""},{"dropping-particle":"","family":"Scaringi","given":"Claudia","non-dropping-particle":"","parse-names":false,"suffix":""},{"dropping-particle":"","family":"Tavanti","given":"Francesca","non-dropping-particle":"","parse-names":false,"suffix":""},{"dropping-particle":"","family":"Bozzao","given":"Alessandro","non-dropping-particle":"","parse-names":false,"suffix":""},{"dropping-particle":"","family":"Maurizi Enrici","given":"Riccardo","non-dropping-particle":"","parse-names":false,"suffix":""},{"dropping-particle":"","family":"Scopinaro","given":"Francesco","non-dropping-particle":"","parse-names":false,"suffix":""}],"container-title":"European Journal of Nuclear Medicine and Molecular Imaging","id":"ITEM-2","issue":"1","issued":{"date-parts":[["2015","11","26"]]},"page":"103-111","publisher":"Springer Berlin","title":"Accuracy of F-DOPA PET and perfusion-MRI for differentiating radionecrotic from progressive brain metastases after radiosurgery","type":"article-journal","volume":"42"},"uris":["http://www.mendeley.com/documents/?uuid=2a1765cb-c562-37f3-a7cd-f5bc60ff328f"]},{"id":"ITEM-3","itemData":{"DOI":"10.1371/journal.pone.0132515","ISSN":"19326203","PMID":"26167681","abstract":"Purpose: The aim of this multi-center study was to assess the diagnostic capability of visual assessment in L-methyl-11C-methionine positron emission tomography (MET-PET) for differentiating a recurrent brain tumor from radiation-induced necrosis after radiotherapy, and to compare it to the accuracy of quantitative analysis. Methods: A total of 73 brain lesions (glioma: 31, brain metastasis: 42) in 70 patients who underwent MET-PET were included in this study. Visual analysis was performed by comparison of MET uptake in the brain lesion with MET uptake in one of four regions (around the lesion, contralateral frontal lobe, contralateral area, and contralateral cerebellar cortex). The concordance rate and logistic regression analysis were used to evaluate the diagnostic ability of visual assessment. Receiver-operating characteristic curve analysis was used to compare visual assessment with quantitative assessment based on the lesion-to-normal (L/N) ratio of MET uptake. Results: Interobserver and intraobserver Κ-values were highest at 0.657 and 0.714, respectively, when assessing MET uptake in the lesion compared to that in the contralateral cerebellar cortex. Logistic regression analysis showed that assessing MET uptake in the contralateral cerebellar cortex with brain metastasis was significantly related to the final result. The highest area under the receiver-operating characteristic curve (AUC) with visual assessment for brain metastasis was 0.85, showing no statistically significant difference with L/Nmax of the contralateral brain (AUC = 0.89) or with L/Nmean of the contralateral cerebellar cortex (AUC = 0.89), which were the areas that were the highest in the quantitative assessment. For evaluation of gliomas, no specific candidate was confirmed among the four areas used in visual assessment, and no significant difference was seen between visual assessment and quantitative assessment. Conclusion: The visual assessment showed no significant difference from quantitative assessment of MET-PET with a relevant cut-off value for the differentiation of recurrent brain tumors from radiation-induced necrosis.","author":[{"dropping-particle":"","family":"Minamimoto","given":"Ryogo","non-dropping-particle":"","parse-names":false,"suffix":""},{"dropping-particle":"","family":"Saginoya","given":"Toshiyuki","non-dropping-particle":"","parse-names":false,"suffix":""},{"dropping-particle":"","family":"Kondo","given":"Chisato","non-dropping-particle":"","parse-names":false,"suffix":""},{"dropping-particle":"","family":"Tomura","given":"Noriaki","non-dropping-particle":"","parse-names":false,"suffix":""},{"dropping-particle":"","family":"Ito","given":"Kimiteru","non-dropping-particle":"","parse-names":false,"suffix":""},{"dropping-particle":"","family":"Matsuo","given":"Yuka","non-dropping-particle":"","parse-names":false,"suffix":""},{"dropping-particle":"","family":"Matsunaga","given":"Shigeo","non-dropping-particle":"","parse-names":false,"suffix":""},{"dropping-particle":"","family":"Shuto","given":"Takashi","non-dropping-particle":"","parse-names":false,"suffix":""},{"dropping-particle":"","family":"Akabane","given":"Atsuya","non-dropping-particle":"","parse-names":false,"suffix":""},{"dropping-particle":"","family":"Miyata","given":"Yoko","non-dropping-particle":"","parse-names":false,"suffix":""},{"dropping-particle":"","family":"Sakai","given":"Shuji","non-dropping-particle":"","parse-names":false,"suffix":""},{"dropping-particle":"","family":"Kubota","given":"Kazuo","non-dropping-particle":"","parse-names":false,"suffix":""}],"container-title":"PLoS ONE","id":"ITEM-3","issue":"7","issued":{"date-parts":[["2015","7","13"]]},"publisher":"Public Library of Science","title":"Differentiation of brain tumor recurrence from post-radiotherapy necrosis with 11C-methionine PET: Visual assessment versus quantitative assessment","type":"article-journal","volume":"10"},"uris":["http://www.mendeley.com/documents/?uuid=62718a49-723a-313b-97d9-66ac822d111e"]}],"mendeley":{"formattedCitation":"&lt;sup&gt;4–6&lt;/sup&gt;","plainTextFormattedCitation":"4–6","previouslyFormattedCitation":"&lt;sup&gt;4–6&lt;/sup&gt;"},"properties":{"noteIndex":0},"schema":"https://github.com/citation-style-language/schema/raw/master/csl-citation.json"}</w:instrText>
      </w:r>
      <w:r w:rsidR="00D14293">
        <w:rPr>
          <w:rFonts w:eastAsia="Times New Roman"/>
          <w:color w:val="000000"/>
          <w:lang w:val="de-DE" w:eastAsia="de-AT"/>
        </w:rPr>
        <w:fldChar w:fldCharType="separate"/>
      </w:r>
      <w:r w:rsidR="004B408B" w:rsidRPr="004B408B">
        <w:rPr>
          <w:rFonts w:eastAsia="Times New Roman"/>
          <w:noProof/>
          <w:color w:val="000000"/>
          <w:vertAlign w:val="superscript"/>
          <w:lang w:val="de-DE" w:eastAsia="de-AT"/>
        </w:rPr>
        <w:t>4–6</w:t>
      </w:r>
      <w:r w:rsidR="00D14293">
        <w:rPr>
          <w:rFonts w:eastAsia="Times New Roman"/>
          <w:color w:val="000000"/>
          <w:lang w:val="de-DE" w:eastAsia="de-AT"/>
        </w:rPr>
        <w:fldChar w:fldCharType="end"/>
      </w:r>
    </w:p>
    <w:p w14:paraId="46D4FBD4" w14:textId="7FBFB9FC" w:rsidR="00CE6A2D" w:rsidRPr="000F2811" w:rsidRDefault="00CE6A2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DE" w:eastAsia="de-AT"/>
        </w:rPr>
      </w:pPr>
      <w:r w:rsidRPr="000F2811">
        <w:rPr>
          <w:rFonts w:eastAsia="Times New Roman"/>
          <w:color w:val="000000"/>
          <w:lang w:val="de-DE" w:eastAsia="de-AT"/>
        </w:rPr>
        <w:t>Darüber hinaus deuten erste Daten darauf hin, dass die Aminosäure-PET mittels FET auch für die Diagnose von behandlungsbedingten Veränderungen nach einer Immuntherapie mit Checkpoint-Inhibitoren oder einer zielgerichteten Therapie, insbesondere in Kombination mit einer Radiotherapie, von Wert ist</w:t>
      </w:r>
      <w:r w:rsidR="00D14293">
        <w:rPr>
          <w:rFonts w:eastAsia="Times New Roman"/>
          <w:color w:val="000000"/>
          <w:lang w:val="de-DE" w:eastAsia="de-AT"/>
        </w:rPr>
        <w:t>.</w:t>
      </w:r>
      <w:r w:rsidR="00D14293">
        <w:rPr>
          <w:rFonts w:eastAsia="Times New Roman"/>
          <w:color w:val="000000"/>
          <w:lang w:val="de-DE" w:eastAsia="de-AT"/>
        </w:rPr>
        <w:fldChar w:fldCharType="begin" w:fldLock="1"/>
      </w:r>
      <w:r w:rsidR="004B408B">
        <w:rPr>
          <w:rFonts w:eastAsia="Times New Roman"/>
          <w:color w:val="000000"/>
          <w:lang w:val="de-DE" w:eastAsia="de-AT"/>
        </w:rPr>
        <w:instrText>ADDIN CSL_CITATION {"citationItems":[{"id":"ITEM-1","itemData":{"DOI":"10.1093/neuonc/now154","ISSN":"15235866","PMID":"27591333","author":[{"dropping-particle":"","family":"Kebir","given":"Sied","non-dropping-particle":"","parse-names":false,"suffix":""},{"dropping-particle":"","family":"Rauschenbach","given":"Laurèl","non-dropping-particle":"","parse-names":false,"suffix":""},{"dropping-particle":"","family":"Galldiks","given":"Norbert","non-dropping-particle":"","parse-names":false,"suffix":""},{"dropping-particle":"","family":"Schlaak","given":"Max","non-dropping-particle":"","parse-names":false,"suffix":""},{"dropping-particle":"","family":"Hattingen","given":"Elke","non-dropping-particle":"","parse-names":false,"suffix":""},{"dropping-particle":"","family":"Landsberg","given":"Jennifer","non-dropping-particle":"","parse-names":false,"suffix":""},{"dropping-particle":"","family":"Bundschuh","given":"Ralph A.","non-dropping-particle":"","parse-names":false,"suffix":""},{"dropping-particle":"","family":"Langen","given":"Karl Josef","non-dropping-particle":"","parse-names":false,"suffix":""},{"dropping-particle":"","family":"Scheffler","given":"Björn","non-dropping-particle":"","parse-names":false,"suffix":""},{"dropping-particle":"","family":"Herrlinger","given":"Ulrich","non-dropping-particle":"","parse-names":false,"suffix":""},{"dropping-particle":"","family":"Glas","given":"Martin","non-dropping-particle":"","parse-names":false,"suffix":""}],"container-title":"Neuro-Oncology","id":"ITEM-1","issue":"10","issued":{"date-parts":[["2016","10","1"]]},"page":"1462-1464","publisher":"Oxford University Press","title":"Dynamic O-(2-[18F]fluoroethyl)-L-tyrosine PET imaging for the detection of checkpoint inhibitor-related pseudoprogression in melanoma brain metastases","type":"article","volume":"18"},"uris":["http://www.mendeley.com/documents/?uuid=077529a1-27ca-37d6-9ad9-c6f449552fc0"]},{"id":"ITEM-2","itemData":{"DOI":"10.1016/j.cllc.2018.10.011","ISSN":"19380690","PMID":"30528316","author":[{"dropping-particle":"","family":"Abdulla","given":"Diana S.Y.","non-dropping-particle":"","parse-names":false,"suffix":""},{"dropping-particle":"","family":"Scheffler","given":"Matthias","non-dropping-particle":"","parse-names":false,"suffix":""},{"dropping-particle":"","family":"Brandes","given":"Vanessa","non-dropping-particle":"","parse-names":false,"suffix":""},{"dropping-particle":"","family":"Ruge","given":"Maximilian","non-dropping-particle":"","parse-names":false,"suffix":""},{"dropping-particle":"","family":"Kunze","given":"Sabine","non-dropping-particle":"","parse-names":false,"suffix":""},{"dropping-particle":"","family":"Merkelbach-Bruse","given":"Sabine","non-dropping-particle":"","parse-names":false,"suffix":""},{"dropping-particle":"","family":"Nogova","given":"Lucia","non-dropping-particle":"","parse-names":false,"suffix":""},{"dropping-particle":"","family":"Michels","given":"Sebastian","non-dropping-particle":"","parse-names":false,"suffix":""},{"dropping-particle":"","family":"Fischer","given":"Rieke","non-dropping-particle":"","parse-names":false,"suffix":""},{"dropping-particle":"","family":"Riedel","given":"Richard","non-dropping-particle":"","parse-names":false,"suffix":""},{"dropping-particle":"","family":"Büttner","given":"Reinhard","non-dropping-particle":"","parse-names":false,"suffix":""},{"dropping-particle":"","family":"Persigehl","given":"Thorsten","non-dropping-particle":"","parse-names":false,"suffix":""},{"dropping-particle":"","family":"Grau","given":"Stefan","non-dropping-particle":"","parse-names":false,"suffix":""},{"dropping-particle":"","family":"Galldiks","given":"Norbert","non-dropping-particle":"","parse-names":false,"suffix":""},{"dropping-particle":"","family":"Drzezga","given":"Alexander","non-dropping-particle":"","parse-names":false,"suffix":""},{"dropping-particle":"","family":"Kobe","given":"Carsten","non-dropping-particle":"","parse-names":false,"suffix":""},{"dropping-particle":"","family":"Wolf","given":"Jürgen","non-dropping-particle":"","parse-names":false,"suffix":""}],"container-title":"Clinical Lung Cancer","id":"ITEM-2","issue":"2","issued":{"date-parts":[["2019","3","1"]]},"page":"e148-e151","publisher":"Elsevier Inc.","title":"Monitoring Treatment Response to Erlotinib in EGFR-mutated Non–small-cell Lung Cancer Brain Metastases Using Serial O-(2-[ 18 F]fluoroethyl)-L-tyrosine PET","type":"article-journal","volume":"20"},"uris":["http://www.mendeley.com/documents/?uuid=71c3aec5-1076-3b7a-88ce-03d6e79ce973"]}],"mendeley":{"formattedCitation":"&lt;sup&gt;7,8&lt;/sup&gt;","plainTextFormattedCitation":"7,8","previouslyFormattedCitation":"&lt;sup&gt;7,8&lt;/sup&gt;"},"properties":{"noteIndex":0},"schema":"https://github.com/citation-style-language/schema/raw/master/csl-citation.json"}</w:instrText>
      </w:r>
      <w:r w:rsidR="00D14293">
        <w:rPr>
          <w:rFonts w:eastAsia="Times New Roman"/>
          <w:color w:val="000000"/>
          <w:lang w:val="de-DE" w:eastAsia="de-AT"/>
        </w:rPr>
        <w:fldChar w:fldCharType="separate"/>
      </w:r>
      <w:r w:rsidR="004B408B" w:rsidRPr="004B408B">
        <w:rPr>
          <w:rFonts w:eastAsia="Times New Roman"/>
          <w:noProof/>
          <w:color w:val="000000"/>
          <w:vertAlign w:val="superscript"/>
          <w:lang w:val="de-DE" w:eastAsia="de-AT"/>
        </w:rPr>
        <w:t>7,8</w:t>
      </w:r>
      <w:r w:rsidR="00D14293">
        <w:rPr>
          <w:rFonts w:eastAsia="Times New Roman"/>
          <w:color w:val="000000"/>
          <w:lang w:val="de-DE" w:eastAsia="de-AT"/>
        </w:rPr>
        <w:fldChar w:fldCharType="end"/>
      </w:r>
      <w:r w:rsidR="006549E5" w:rsidRPr="000F2811">
        <w:rPr>
          <w:rFonts w:eastAsia="Times New Roman"/>
          <w:color w:val="000000"/>
          <w:lang w:val="de-DE" w:eastAsia="de-AT"/>
        </w:rPr>
        <w:t xml:space="preserve"> Eine jüngere Studie hat zudem zeigen können, dass </w:t>
      </w:r>
      <w:r w:rsidR="003B5430" w:rsidRPr="000F2811">
        <w:rPr>
          <w:rFonts w:eastAsia="Times New Roman"/>
          <w:color w:val="000000"/>
          <w:lang w:val="de-DE" w:eastAsia="de-AT"/>
        </w:rPr>
        <w:t>FET PET-</w:t>
      </w:r>
      <w:r w:rsidR="006549E5" w:rsidRPr="000F2811">
        <w:rPr>
          <w:rFonts w:eastAsia="Times New Roman"/>
          <w:color w:val="000000"/>
          <w:lang w:val="de-DE" w:eastAsia="de-AT"/>
        </w:rPr>
        <w:t xml:space="preserve">Responder </w:t>
      </w:r>
      <w:r w:rsidR="003B5430" w:rsidRPr="000F2811">
        <w:rPr>
          <w:rFonts w:eastAsia="Times New Roman"/>
          <w:color w:val="000000"/>
          <w:lang w:val="de-DE" w:eastAsia="de-AT"/>
        </w:rPr>
        <w:t>auf eine Checkpoint-Inhibitor-basierte Therapie ein signifikant längeres progressionsfreies Überleben hatten.</w:t>
      </w:r>
      <w:r w:rsidR="00D14293">
        <w:rPr>
          <w:rFonts w:eastAsia="Times New Roman"/>
          <w:color w:val="000000"/>
          <w:lang w:val="de-DE" w:eastAsia="de-AT"/>
        </w:rPr>
        <w:fldChar w:fldCharType="begin" w:fldLock="1"/>
      </w:r>
      <w:r w:rsidR="004B408B">
        <w:rPr>
          <w:rFonts w:eastAsia="Times New Roman"/>
          <w:color w:val="000000"/>
          <w:lang w:val="de-DE" w:eastAsia="de-AT"/>
        </w:rPr>
        <w:instrText>ADDIN CSL_CITATION {"citationItems":[{"id":"ITEM-1","itemData":{"DOI":"10.2967/jnumed.120.248278","ISSN":"1535-5667","PMID":"32887757","abstract":"Purpose: We investigated the value of O-(2-[18F]fluoroethyl)-L-tyrosine (18F-FET) PET for treatment monitoring of immune checkpoint inhibition (ICI) or targeted therapy (TT) alone or in combination with radiotherapy in patients with brain metastases (BM) since contrast-enhanced MRI often remains inconclusive. Methods: We retrospectively identified 40 patients with 107 BM secondary to melanoma (n = 29 with 75 BM) or non-small cell lung cancer (n = 11 with 32 BM) treated with ICI or TT who had 18F-FET PET (n = 60 scans) for treatment monitoring from 2015-2019. The majority of patients (n = 37; 92.5%) had radiotherapy during the course of disease. In 27 patients, 18F-FET PET was used for the differentiation of treatment-related changes from BM relapse following ICI or TT. In 13 patients, 18F-FET PET was performed for response assessement to ICI or TT using baseline and follow-up scans (median time between scans, 4.2 months). In all lesions, static and dynamic 18F-FET PET parameters were obtained (i.e., mean tumor-to-brain ratios (TBR), time-to-peak values). Diagnostic accuracies of PET parameters were evaluated by receiver-operating-characteristic analyses using the clinical follow-up or neuropathological findings as reference. Results: A TBR threshold of 1.95 differentiated BM relapse from treatment-related changes with an accuracy of 85% (P = 0.003). Metabolic responders to ICI or TT on 18F-FET PET had a significantly longer stable follow-up (threshold of TBR reduction relative to baseline, ≥10%; accuracy, 82%; P = 0.004). Furthermore, at follow-up, time-to-peak values in metabolic responders increased significantly (P = 0.019). Conclusion:18F-FET PET may add valuable information for treatment monitoring in BM patients treated with ICI or TT.","author":[{"dropping-particle":"","family":"Galldiks","given":"Norbert","non-dropping-particle":"","parse-names":false,"suffix":""},{"dropping-particle":"","family":"Abdulla","given":"Diana Sy","non-dropping-particle":"","parse-names":false,"suffix":""},{"dropping-particle":"","family":"Scheffler","given":"Matthias","non-dropping-particle":"","parse-names":false,"suffix":""},{"dropping-particle":"","family":"Wolpert","given":"Fabian","non-dropping-particle":"","parse-names":false,"suffix":""},{"dropping-particle":"","family":"Werner","given":"Jan-Michael","non-dropping-particle":"","parse-names":false,"suffix":""},{"dropping-particle":"","family":"Huellner","given":"Martin W","non-dropping-particle":"","parse-names":false,"suffix":""},{"dropping-particle":"","family":"Stoffels","given":"Gabriele","non-dropping-particle":"","parse-names":false,"suffix":""},{"dropping-particle":"","family":"Schweinsberg","given":"Viola","non-dropping-particle":"","parse-names":false,"suffix":""},{"dropping-particle":"","family":"Schlaak","given":"Max","non-dropping-particle":"","parse-names":false,"suffix":""},{"dropping-particle":"","family":"Kreuzberg","given":"Nicole","non-dropping-particle":"","parse-names":false,"suffix":""},{"dropping-particle":"","family":"Landsberg","given":"Jennifer","non-dropping-particle":"","parse-names":false,"suffix":""},{"dropping-particle":"","family":"Lohmann","given":"Philipp","non-dropping-particle":"","parse-names":false,"suffix":""},{"dropping-particle":"","family":"Ceccon","given":"Garry","non-dropping-particle":"","parse-names":false,"suffix":""},{"dropping-particle":"","family":"Baues","given":"Christian","non-dropping-particle":"","parse-names":false,"suffix":""},{"dropping-particle":"","family":"Trommer","given":"Maike","non-dropping-particle":"","parse-names":false,"suffix":""},{"dropping-particle":"","family":"Celik","given":"Eren","non-dropping-particle":"","parse-names":false,"suffix":""},{"dropping-particle":"","family":"Ruge","given":"Maximilian I","non-dropping-particle":"","parse-names":false,"suffix":""},{"dropping-particle":"","family":"Kocher","given":"Martin","non-dropping-particle":"","parse-names":false,"suffix":""},{"dropping-particle":"","family":"Marnitz","given":"Simone","non-dropping-particle":"","parse-names":false,"suffix":""},{"dropping-particle":"","family":"Fink","given":"Gereon R","non-dropping-particle":"","parse-names":false,"suffix":""},{"dropping-particle":"","family":"Tonn","given":"Joerg-Christian","non-dropping-particle":"","parse-names":false,"suffix":""},{"dropping-particle":"","family":"Weller","given":"Michael","non-dropping-particle":"","parse-names":false,"suffix":""},{"dropping-particle":"","family":"Langen","given":"Karl-Josef","non-dropping-particle":"","parse-names":false,"suffix":""},{"dropping-particle":"","family":"Wolf","given":"Jürgen","non-dropping-particle":"","parse-names":false,"suffix":""},{"dropping-particle":"","family":"Mauch","given":"Cornelia","non-dropping-particle":"","parse-names":false,"suffix":""}],"container-title":"Journal of nuclear medicine : official publication, Society of Nuclear Medicine","id":"ITEM-1","issued":{"date-parts":[["2020","9","4"]]},"page":"jnumed.120.248278","title":"Treatment Monitoring of Immunotherapy and Targeted Therapy using 18F-FET PET in Patients with Melanoma and Lung Cancer Brain Metastases: Initial Experiences.","type":"article-journal"},"uris":["http://www.mendeley.com/documents/?uuid=aa97c997-1274-3df5-8f98-6157be5cd211"]}],"mendeley":{"formattedCitation":"&lt;sup&gt;9&lt;/sup&gt;","plainTextFormattedCitation":"9","previouslyFormattedCitation":"&lt;sup&gt;9&lt;/sup&gt;"},"properties":{"noteIndex":0},"schema":"https://github.com/citation-style-language/schema/raw/master/csl-citation.json"}</w:instrText>
      </w:r>
      <w:r w:rsidR="00D14293">
        <w:rPr>
          <w:rFonts w:eastAsia="Times New Roman"/>
          <w:color w:val="000000"/>
          <w:lang w:val="de-DE" w:eastAsia="de-AT"/>
        </w:rPr>
        <w:fldChar w:fldCharType="separate"/>
      </w:r>
      <w:r w:rsidR="004B408B" w:rsidRPr="004B408B">
        <w:rPr>
          <w:rFonts w:eastAsia="Times New Roman"/>
          <w:noProof/>
          <w:color w:val="000000"/>
          <w:vertAlign w:val="superscript"/>
          <w:lang w:val="de-DE" w:eastAsia="de-AT"/>
        </w:rPr>
        <w:t>9</w:t>
      </w:r>
      <w:r w:rsidR="00D14293">
        <w:rPr>
          <w:rFonts w:eastAsia="Times New Roman"/>
          <w:color w:val="000000"/>
          <w:lang w:val="de-DE" w:eastAsia="de-AT"/>
        </w:rPr>
        <w:fldChar w:fldCharType="end"/>
      </w:r>
    </w:p>
    <w:p w14:paraId="73CDDD49" w14:textId="77777777" w:rsidR="00CE6A2D" w:rsidRPr="000F2811" w:rsidRDefault="00CE6A2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DE" w:eastAsia="de-AT"/>
        </w:rPr>
      </w:pPr>
    </w:p>
    <w:p w14:paraId="3BAF4197" w14:textId="77777777" w:rsidR="00CE6A2D" w:rsidRPr="000F2811" w:rsidRDefault="00CE6A2D"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DE" w:eastAsia="de-AT"/>
        </w:rPr>
      </w:pPr>
      <w:r w:rsidRPr="000F2811">
        <w:rPr>
          <w:rFonts w:eastAsia="Times New Roman"/>
          <w:color w:val="000000"/>
          <w:lang w:val="de-DE" w:eastAsia="de-AT"/>
        </w:rPr>
        <w:t xml:space="preserve"> </w:t>
      </w:r>
      <w:r w:rsidR="006549E5" w:rsidRPr="000F2811">
        <w:rPr>
          <w:noProof/>
          <w:lang w:val="de-DE" w:eastAsia="de-DE"/>
        </w:rPr>
        <w:drawing>
          <wp:inline distT="0" distB="0" distL="0" distR="0" wp14:anchorId="59FB7C87" wp14:editId="1FE536EA">
            <wp:extent cx="5756910" cy="1511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1511300"/>
                    </a:xfrm>
                    <a:prstGeom prst="rect">
                      <a:avLst/>
                    </a:prstGeom>
                  </pic:spPr>
                </pic:pic>
              </a:graphicData>
            </a:graphic>
          </wp:inline>
        </w:drawing>
      </w:r>
    </w:p>
    <w:p w14:paraId="4D74124D" w14:textId="59DABB1E" w:rsidR="00CE6A2D" w:rsidRPr="000F2811" w:rsidRDefault="006549E5"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DE" w:eastAsia="de-AT"/>
        </w:rPr>
      </w:pPr>
      <w:r w:rsidRPr="000F2811">
        <w:rPr>
          <w:rFonts w:eastAsia="Times New Roman"/>
          <w:b/>
          <w:bCs/>
          <w:color w:val="000000"/>
          <w:lang w:val="de-DE" w:eastAsia="de-AT"/>
        </w:rPr>
        <w:t>Abbildung:</w:t>
      </w:r>
      <w:r w:rsidRPr="000F2811">
        <w:rPr>
          <w:rFonts w:eastAsia="Times New Roman"/>
          <w:color w:val="000000"/>
          <w:lang w:val="de-DE" w:eastAsia="de-AT"/>
        </w:rPr>
        <w:t xml:space="preserve"> </w:t>
      </w:r>
      <w:r w:rsidR="00CE6A2D" w:rsidRPr="000F2811">
        <w:rPr>
          <w:rFonts w:eastAsia="Times New Roman"/>
          <w:color w:val="000000"/>
          <w:lang w:val="de-DE" w:eastAsia="de-AT"/>
        </w:rPr>
        <w:t xml:space="preserve">Hirnmetastase eines </w:t>
      </w:r>
      <w:r w:rsidR="003B5430" w:rsidRPr="000F2811">
        <w:rPr>
          <w:rFonts w:eastAsia="Times New Roman"/>
          <w:color w:val="000000"/>
          <w:lang w:val="de-DE" w:eastAsia="de-AT"/>
        </w:rPr>
        <w:t>nicht-kleinzelligen Bronchialkarzinoms</w:t>
      </w:r>
      <w:r w:rsidR="00CE6A2D" w:rsidRPr="000F2811">
        <w:rPr>
          <w:rFonts w:eastAsia="Times New Roman"/>
          <w:color w:val="000000"/>
          <w:lang w:val="de-DE" w:eastAsia="de-AT"/>
        </w:rPr>
        <w:t>, die 9 Monate zuvor radiochirurgisch behandelt wurde. Im Gegensatz zur progredienten konventionellen MRT weist die Aminosäure-PET mit FET auf eine radiogene Veränderung hin, histologisch konnte eine Radionekrose nachgewiesen werden (Abbildung modifiziert aus: Ceccon et al., 2017</w:t>
      </w:r>
      <w:r w:rsidR="00E355F2">
        <w:rPr>
          <w:rFonts w:eastAsia="Times New Roman"/>
          <w:color w:val="000000"/>
          <w:lang w:val="de-DE" w:eastAsia="de-AT"/>
        </w:rPr>
        <w:t xml:space="preserve"> </w:t>
      </w:r>
      <w:r w:rsidR="00D14293">
        <w:rPr>
          <w:rFonts w:eastAsia="Times New Roman"/>
          <w:color w:val="000000"/>
          <w:lang w:val="de-DE" w:eastAsia="de-AT"/>
        </w:rPr>
        <w:fldChar w:fldCharType="begin" w:fldLock="1"/>
      </w:r>
      <w:r w:rsidR="004B408B">
        <w:rPr>
          <w:rFonts w:eastAsia="Times New Roman"/>
          <w:color w:val="000000"/>
          <w:lang w:val="de-DE" w:eastAsia="de-AT"/>
        </w:rPr>
        <w:instrText>ADDIN CSL_CITATION {"citationItems":[{"id":"ITEM-1","itemData":{"DOI":"10.1093/neuonc/now149","ISSN":"15235866","PMID":"27471107","abstract":"Background: The aim of this study was to investigate the potential of dynamic O-(2-[18F]fluoroethyl)-L-tyrosine (18FFET) PET for differentiating local recurrent brain metastasis from radiation injury after radiotherapy since contrastenhanced MRI often remains inconclusive. Methods: Sixty-two patients (mean age, 55 ± 11 y) with single or multiple contrast-enhancing brain lesions (n = 76) on MRI after radiotherapy of brain metastases (predominantly stereotactic radiosurgery) were investigated with dynamic 18F-FET PET. Maximum and mean tumor-to-brain ratios (TBRmax, TBRmean) of 18F-FET uptake were determined (20-40 min postinjection) as well as tracer uptake kinetics (ie, time-to-peak and slope of time-activity curves). Diagnoses were confirmed histologically (34%; 26 lesions in 25 patients) or by clinical follow-up (66%; 50 lesions in 37 patients). Diagnostic accuracies of PET parameters for the correct identification of recurrent brain metastasis were evaluated by receiver-operating-characteristic analyses or the chi-square test. Results: TBRs were significantly higher in recurrent metastases (n = 36) than in radiation injuries (n = 40) (TBRmax 3.3 ± 1.0 vs 2.2 ± 0.4, P &lt;.001; TBRmean 2.2 ± 0.4 vs 1.7 ± 0.3, P &lt;.001). The highest accuracy (88%) for diagnosing local recurrent metastasis could be obtained with TBRs in combination with the slope of time-activity curves (P &lt;.001). Conclusions: The results of this study confirm previous preliminary observations that the combined evaluation of the TBRs of 18F-FET uptake and the slope of time-activity curves can differentiate local brain metastasis recurrence from radiation-induced changes with high accuracy. 18F-FET PET may thus contribute significantly to the management of patients with brain metastases.","author":[{"dropping-particle":"","family":"Ceccon","given":"Garry","non-dropping-particle":"","parse-names":false,"suffix":""},{"dropping-particle":"","family":"Lohmann","given":"Philipp","non-dropping-particle":"","parse-names":false,"suffix":""},{"dropping-particle":"","family":"Stoffels","given":"Gabriele","non-dropping-particle":"","parse-names":false,"suffix":""},{"dropping-particle":"","family":"Judov","given":"Natalie","non-dropping-particle":"","parse-names":false,"suffix":""},{"dropping-particle":"","family":"Filss","given":"Christian P.","non-dropping-particle":"","parse-names":false,"suffix":""},{"dropping-particle":"","family":"Rapp","given":"Marion","non-dropping-particle":"","parse-names":false,"suffix":""},{"dropping-particle":"","family":"Bauer","given":"Elena","non-dropping-particle":"","parse-names":false,"suffix":""},{"dropping-particle":"","family":"Hamisch","given":"Christina","non-dropping-particle":"","parse-names":false,"suffix":""},{"dropping-particle":"","family":"Ruge","given":"Maximilian I.","non-dropping-particle":"","parse-names":false,"suffix":""},{"dropping-particle":"","family":"Kocher","given":"Martin","non-dropping-particle":"","parse-names":false,"suffix":""},{"dropping-particle":"","family":"Kuchelmeister","given":"Klaus","non-dropping-particle":"","parse-names":false,"suffix":""},{"dropping-particle":"","family":"Sellhaus","given":"Bernd","non-dropping-particle":"","parse-names":false,"suffix":""},{"dropping-particle":"","family":"Sabel","given":"Michael","non-dropping-particle":"","parse-names":false,"suffix":""},{"dropping-particle":"","family":"Fink","given":"Gereon R.","non-dropping-particle":"","parse-names":false,"suffix":""},{"dropping-particle":"","family":"Shah","given":"Nadim J.","non-dropping-particle":"","parse-names":false,"suffix":""},{"dropping-particle":"","family":"Langen","given":"Karl Josef","non-dropping-particle":"","parse-names":false,"suffix":""},{"dropping-particle":"","family":"Galldiks","given":"Norbert","non-dropping-particle":"","parse-names":false,"suffix":""}],"container-title":"Neuro-Oncology","id":"ITEM-1","issue":"2","issued":{"date-parts":[["2017"]]},"page":"281-288","publisher":"Oxford University Press","title":"Dynamic O-(2-18F-fluoroethyl)-L-tyrosine positron emission tomography differentiates brain metastasis recurrence from radiation injury after radiotherapy","type":"article-journal","volume":"19"},"uris":["http://www.mendeley.com/documents/?uuid=2566add4-1804-3699-b3c8-2d01fed7291d"]}],"mendeley":{"formattedCitation":"&lt;sup&gt;4&lt;/sup&gt;","plainTextFormattedCitation":"4","previouslyFormattedCitation":"&lt;sup&gt;4&lt;/sup&gt;"},"properties":{"noteIndex":0},"schema":"https://github.com/citation-style-language/schema/raw/master/csl-citation.json"}</w:instrText>
      </w:r>
      <w:r w:rsidR="00D14293">
        <w:rPr>
          <w:rFonts w:eastAsia="Times New Roman"/>
          <w:color w:val="000000"/>
          <w:lang w:val="de-DE" w:eastAsia="de-AT"/>
        </w:rPr>
        <w:fldChar w:fldCharType="separate"/>
      </w:r>
      <w:r w:rsidR="004B408B" w:rsidRPr="004B408B">
        <w:rPr>
          <w:rFonts w:eastAsia="Times New Roman"/>
          <w:noProof/>
          <w:color w:val="000000"/>
          <w:vertAlign w:val="superscript"/>
          <w:lang w:val="de-DE" w:eastAsia="de-AT"/>
        </w:rPr>
        <w:t>4</w:t>
      </w:r>
      <w:r w:rsidR="00D14293">
        <w:rPr>
          <w:rFonts w:eastAsia="Times New Roman"/>
          <w:color w:val="000000"/>
          <w:lang w:val="de-DE" w:eastAsia="de-AT"/>
        </w:rPr>
        <w:fldChar w:fldCharType="end"/>
      </w:r>
      <w:r w:rsidR="00CE6A2D" w:rsidRPr="000F2811">
        <w:rPr>
          <w:rFonts w:eastAsia="Times New Roman"/>
          <w:color w:val="000000"/>
          <w:lang w:val="de-DE" w:eastAsia="de-AT"/>
        </w:rPr>
        <w:t>)</w:t>
      </w:r>
    </w:p>
    <w:p w14:paraId="6EA54C06" w14:textId="22A2552F" w:rsidR="004123AC" w:rsidRPr="000F2811" w:rsidRDefault="00D675E0">
      <w:pPr>
        <w:spacing w:after="160" w:line="360" w:lineRule="auto"/>
        <w:jc w:val="both"/>
        <w:rPr>
          <w:rFonts w:ascii="Arial" w:hAnsi="Arial" w:cs="Arial"/>
          <w:iCs/>
          <w:sz w:val="24"/>
          <w:szCs w:val="24"/>
        </w:rPr>
        <w:pPrChange w:id="1" w:author="Stefan Grau" w:date="2020-09-24T12:18:00Z">
          <w:pPr>
            <w:spacing w:line="360" w:lineRule="auto"/>
            <w:jc w:val="both"/>
          </w:pPr>
        </w:pPrChange>
      </w:pPr>
      <w:r>
        <w:rPr>
          <w:rFonts w:ascii="Arial" w:eastAsia="Times New Roman" w:hAnsi="Arial" w:cs="Arial"/>
          <w:b/>
          <w:color w:val="000000"/>
          <w:sz w:val="24"/>
          <w:szCs w:val="24"/>
          <w:lang w:val="de-AT" w:eastAsia="de-AT"/>
        </w:rPr>
        <w:br w:type="page"/>
      </w:r>
      <w:r w:rsidR="00205305" w:rsidRPr="000F2811">
        <w:rPr>
          <w:rFonts w:ascii="Arial" w:eastAsia="Times New Roman" w:hAnsi="Arial" w:cs="Arial"/>
          <w:b/>
          <w:color w:val="000000"/>
          <w:sz w:val="24"/>
          <w:szCs w:val="24"/>
          <w:lang w:val="de-AT" w:eastAsia="de-AT"/>
        </w:rPr>
        <w:lastRenderedPageBreak/>
        <w:t>Resektion</w:t>
      </w:r>
      <w:r w:rsidR="00875D23" w:rsidRPr="000F2811">
        <w:rPr>
          <w:rFonts w:ascii="Arial" w:eastAsia="Times New Roman" w:hAnsi="Arial" w:cs="Arial"/>
          <w:b/>
          <w:color w:val="000000"/>
          <w:sz w:val="24"/>
          <w:szCs w:val="24"/>
          <w:lang w:val="de-AT" w:eastAsia="de-AT"/>
        </w:rPr>
        <w:t>:</w:t>
      </w:r>
      <w:r w:rsidR="00875D23" w:rsidRPr="000F2811">
        <w:rPr>
          <w:rFonts w:ascii="Arial" w:eastAsia="Times New Roman" w:hAnsi="Arial" w:cs="Arial"/>
          <w:b/>
          <w:color w:val="000000"/>
          <w:sz w:val="24"/>
          <w:szCs w:val="24"/>
          <w:lang w:val="de-AT" w:eastAsia="de-AT"/>
        </w:rPr>
        <w:br/>
      </w:r>
      <w:r w:rsidR="004123AC" w:rsidRPr="000F2811">
        <w:rPr>
          <w:rFonts w:ascii="Arial" w:hAnsi="Arial" w:cs="Arial"/>
          <w:iCs/>
          <w:sz w:val="24"/>
          <w:szCs w:val="24"/>
        </w:rPr>
        <w:t xml:space="preserve">Die Argumente für eine Metastasenresektion </w:t>
      </w:r>
      <w:r w:rsidR="0065532C" w:rsidRPr="000F2811">
        <w:rPr>
          <w:rFonts w:ascii="Arial" w:hAnsi="Arial" w:cs="Arial"/>
          <w:iCs/>
          <w:sz w:val="24"/>
          <w:szCs w:val="24"/>
        </w:rPr>
        <w:t>basieren</w:t>
      </w:r>
      <w:r w:rsidR="004123AC" w:rsidRPr="000F2811">
        <w:rPr>
          <w:rFonts w:ascii="Arial" w:hAnsi="Arial" w:cs="Arial"/>
          <w:iCs/>
          <w:sz w:val="24"/>
          <w:szCs w:val="24"/>
        </w:rPr>
        <w:t xml:space="preserve"> auf prospektiv</w:t>
      </w:r>
      <w:r w:rsidR="0065532C" w:rsidRPr="000F2811">
        <w:rPr>
          <w:rFonts w:ascii="Arial" w:hAnsi="Arial" w:cs="Arial"/>
          <w:iCs/>
          <w:sz w:val="24"/>
          <w:szCs w:val="24"/>
        </w:rPr>
        <w:t>en,</w:t>
      </w:r>
      <w:r w:rsidR="004123AC" w:rsidRPr="000F2811">
        <w:rPr>
          <w:rFonts w:ascii="Arial" w:hAnsi="Arial" w:cs="Arial"/>
          <w:iCs/>
          <w:sz w:val="24"/>
          <w:szCs w:val="24"/>
        </w:rPr>
        <w:t xml:space="preserve"> randomisierten Studien aus den 1980er bis 2000er Jahren, bei </w:t>
      </w:r>
      <w:r w:rsidR="0065532C" w:rsidRPr="000F2811">
        <w:rPr>
          <w:rFonts w:ascii="Arial" w:hAnsi="Arial" w:cs="Arial"/>
          <w:iCs/>
          <w:sz w:val="24"/>
          <w:szCs w:val="24"/>
        </w:rPr>
        <w:t>welchen</w:t>
      </w:r>
      <w:r w:rsidR="004123AC" w:rsidRPr="000F2811">
        <w:rPr>
          <w:rFonts w:ascii="Arial" w:hAnsi="Arial" w:cs="Arial"/>
          <w:iCs/>
          <w:sz w:val="24"/>
          <w:szCs w:val="24"/>
        </w:rPr>
        <w:t xml:space="preserve"> die Operation von singulären Hirnmetastasen vor einer Ganzhirnbestrahlung einen Überlebensvorteil für Patienten zeigte</w:t>
      </w:r>
      <w:r w:rsidR="00D14293">
        <w:rPr>
          <w:rFonts w:ascii="Arial" w:hAnsi="Arial" w:cs="Arial"/>
          <w:iCs/>
          <w:sz w:val="24"/>
          <w:szCs w:val="24"/>
        </w:rPr>
        <w:fldChar w:fldCharType="begin" w:fldLock="1"/>
      </w:r>
      <w:r w:rsidR="004B408B">
        <w:rPr>
          <w:rFonts w:ascii="Arial" w:hAnsi="Arial" w:cs="Arial"/>
          <w:iCs/>
          <w:sz w:val="24"/>
          <w:szCs w:val="24"/>
        </w:rPr>
        <w:instrText>ADDIN CSL_CITATION {"citationItems":[{"id":"ITEM-1","itemData":{"DOI":"10.1056/NEJM199002223220802","ISSN":"0028-4793","PMID":"2405271","abstract":"To assess the efficacy of surgical resection of brain metastases from extracranial primary cancer, we randomly assigned patients with a single brain metastasis to either surgical removal of the brain tumor followed by radiotherapy (surgical group) or needle biopsy and radiotherapy (radiation group). Forty-eight patients (25 in the surgical group and 23 in the radiation group) formed the study group; 6 other patients (11 percent) were excluded from the study because on biopsy their lesions proved to be either second primary tumors or inflammatory or infectious processes. Recurrence at the site of the original metastasis was less frequent in the surgical group than in the radiation group (5 of 25 [20 percent] vs. 12 of 23 [52 percent]; P less than 0.02). The overall length of survival was significantly longer in the surgical group (median, 40 weeks vs. 15 weeks in the radiation group; P less than 0.01), and the patients treated with surgery remained functionally independent longer (median, 38 weeks vs. 8 weeks in the radiation group; P less than 0.005). We conclude that patients with cancer and a single metastasis to the brain who receive treatment with surgical resection plus radiotherapy live longer, have fewer recurrences of cancer in the brain, and have a better quality of life than similar patients treated with radiotherapy alone.","author":[{"dropping-particle":"","family":"Patchell","given":"R A","non-dropping-particle":"","parse-names":false,"suffix":""},{"dropping-particle":"","family":"Tibbs","given":"P A","non-dropping-particle":"","parse-names":false,"suffix":""},{"dropping-particle":"","family":"Walsh","given":"J W","non-dropping-particle":"","parse-names":false,"suffix":""},{"dropping-particle":"","family":"Dempsey","given":"R J","non-dropping-particle":"","parse-names":false,"suffix":""},{"dropping-particle":"","family":"Maruyama","given":"Y","non-dropping-particle":"","parse-names":false,"suffix":""},{"dropping-particle":"","family":"Kryscio","given":"R J","non-dropping-particle":"","parse-names":false,"suffix":""},{"dropping-particle":"","family":"Markesbery","given":"W R","non-dropping-particle":"","parse-names":false,"suffix":""},{"dropping-particle":"","family":"Macdonald","given":"J S","non-dropping-particle":"","parse-names":false,"suffix":""},{"dropping-particle":"","family":"Young","given":"B","non-dropping-particle":"","parse-names":false,"suffix":""}],"container-title":"The New England journal of medicine","id":"ITEM-1","issue":"8","issued":{"date-parts":[["1990","2","22"]]},"page":"494-500","title":"A randomized trial of surgery in the treatment of single metastases to the brain.","type":"article-journal","volume":"322"},"uris":["http://www.mendeley.com/documents/?uuid=9dd16979-69c9-3207-bcd0-15de56a555f3"]}],"mendeley":{"formattedCitation":"&lt;sup&gt;10&lt;/sup&gt;","plainTextFormattedCitation":"10","previouslyFormattedCitation":"&lt;sup&gt;10&lt;/sup&gt;"},"properties":{"noteIndex":0},"schema":"https://github.com/citation-style-language/schema/raw/master/csl-citation.json"}</w:instrText>
      </w:r>
      <w:r w:rsidR="00D14293">
        <w:rPr>
          <w:rFonts w:ascii="Arial" w:hAnsi="Arial" w:cs="Arial"/>
          <w:iCs/>
          <w:sz w:val="24"/>
          <w:szCs w:val="24"/>
        </w:rPr>
        <w:fldChar w:fldCharType="separate"/>
      </w:r>
      <w:r w:rsidR="004B408B" w:rsidRPr="004B408B">
        <w:rPr>
          <w:rFonts w:ascii="Arial" w:hAnsi="Arial" w:cs="Arial"/>
          <w:iCs/>
          <w:noProof/>
          <w:sz w:val="24"/>
          <w:szCs w:val="24"/>
          <w:vertAlign w:val="superscript"/>
        </w:rPr>
        <w:t>10</w:t>
      </w:r>
      <w:r w:rsidR="00D14293">
        <w:rPr>
          <w:rFonts w:ascii="Arial" w:hAnsi="Arial" w:cs="Arial"/>
          <w:iCs/>
          <w:sz w:val="24"/>
          <w:szCs w:val="24"/>
        </w:rPr>
        <w:fldChar w:fldCharType="end"/>
      </w:r>
      <w:r w:rsidR="004123AC" w:rsidRPr="000F2811">
        <w:rPr>
          <w:rFonts w:ascii="Arial" w:hAnsi="Arial" w:cs="Arial"/>
          <w:iCs/>
          <w:sz w:val="24"/>
          <w:szCs w:val="24"/>
        </w:rPr>
        <w:t xml:space="preserve">. Als Konsequenz findet sich bis heute in den </w:t>
      </w:r>
      <w:r w:rsidR="0065532C" w:rsidRPr="000F2811">
        <w:rPr>
          <w:rFonts w:ascii="Arial" w:hAnsi="Arial" w:cs="Arial"/>
          <w:iCs/>
          <w:sz w:val="24"/>
          <w:szCs w:val="24"/>
        </w:rPr>
        <w:t>L</w:t>
      </w:r>
      <w:r w:rsidR="004123AC" w:rsidRPr="000F2811">
        <w:rPr>
          <w:rFonts w:ascii="Arial" w:hAnsi="Arial" w:cs="Arial"/>
          <w:iCs/>
          <w:sz w:val="24"/>
          <w:szCs w:val="24"/>
        </w:rPr>
        <w:t xml:space="preserve">eitlinien eine Empfehlung für die Operation vor allem </w:t>
      </w:r>
      <w:r w:rsidR="000F2811" w:rsidRPr="000F2811">
        <w:rPr>
          <w:rFonts w:ascii="Arial" w:hAnsi="Arial" w:cs="Arial"/>
          <w:iCs/>
          <w:sz w:val="24"/>
          <w:szCs w:val="24"/>
        </w:rPr>
        <w:t xml:space="preserve">für </w:t>
      </w:r>
      <w:r w:rsidR="004123AC" w:rsidRPr="000F2811">
        <w:rPr>
          <w:rFonts w:ascii="Arial" w:hAnsi="Arial" w:cs="Arial"/>
          <w:iCs/>
          <w:sz w:val="24"/>
          <w:szCs w:val="24"/>
        </w:rPr>
        <w:t xml:space="preserve">Patienten mit singulären oder solitären Hirnmetastasen, welche eine gewisse Größe übersteigen oder bei </w:t>
      </w:r>
      <w:r w:rsidR="0065532C" w:rsidRPr="000F2811">
        <w:rPr>
          <w:rFonts w:ascii="Arial" w:hAnsi="Arial" w:cs="Arial"/>
          <w:iCs/>
          <w:sz w:val="24"/>
          <w:szCs w:val="24"/>
        </w:rPr>
        <w:t xml:space="preserve">deren </w:t>
      </w:r>
      <w:r w:rsidR="004123AC" w:rsidRPr="000F2811">
        <w:rPr>
          <w:rFonts w:ascii="Arial" w:hAnsi="Arial" w:cs="Arial"/>
          <w:iCs/>
          <w:sz w:val="24"/>
          <w:szCs w:val="24"/>
        </w:rPr>
        <w:t>Lage in der hinteren Schädelgrube. Allerdings stellen sich die</w:t>
      </w:r>
      <w:r w:rsidR="0065532C" w:rsidRPr="000F2811">
        <w:rPr>
          <w:rFonts w:ascii="Arial" w:hAnsi="Arial" w:cs="Arial"/>
          <w:iCs/>
          <w:sz w:val="24"/>
          <w:szCs w:val="24"/>
        </w:rPr>
        <w:t xml:space="preserve"> diagnostischen Möglichkeiten sowie die</w:t>
      </w:r>
      <w:r w:rsidR="004123AC" w:rsidRPr="000F2811">
        <w:rPr>
          <w:rFonts w:ascii="Arial" w:hAnsi="Arial" w:cs="Arial"/>
          <w:iCs/>
          <w:sz w:val="24"/>
          <w:szCs w:val="24"/>
        </w:rPr>
        <w:t xml:space="preserve"> (radio-)onkologischen Behandlungsoptionen heutzutage gänzlich anders dar</w:t>
      </w:r>
      <w:r w:rsidR="000F2811" w:rsidRPr="000F2811">
        <w:rPr>
          <w:rFonts w:ascii="Arial" w:hAnsi="Arial" w:cs="Arial"/>
          <w:iCs/>
          <w:sz w:val="24"/>
          <w:szCs w:val="24"/>
        </w:rPr>
        <w:t xml:space="preserve"> als zum Zeitpunkt o.g. Studien</w:t>
      </w:r>
      <w:r w:rsidR="004123AC" w:rsidRPr="000F2811">
        <w:rPr>
          <w:rFonts w:ascii="Arial" w:hAnsi="Arial" w:cs="Arial"/>
          <w:iCs/>
          <w:sz w:val="24"/>
          <w:szCs w:val="24"/>
        </w:rPr>
        <w:t>, so dass die Indikationen zur Operation ebenfalls adaptiert werden müssen.</w:t>
      </w:r>
    </w:p>
    <w:p w14:paraId="3715D0D0" w14:textId="48FCE47C" w:rsidR="004123AC" w:rsidRPr="000F2811" w:rsidRDefault="004123AC" w:rsidP="002D7220">
      <w:pPr>
        <w:spacing w:line="360" w:lineRule="auto"/>
        <w:jc w:val="both"/>
        <w:rPr>
          <w:rFonts w:ascii="Arial" w:hAnsi="Arial" w:cs="Arial"/>
          <w:iCs/>
          <w:sz w:val="24"/>
          <w:szCs w:val="24"/>
        </w:rPr>
      </w:pPr>
      <w:r w:rsidRPr="000F2811">
        <w:rPr>
          <w:rFonts w:ascii="Arial" w:hAnsi="Arial" w:cs="Arial"/>
          <w:iCs/>
          <w:sz w:val="24"/>
          <w:szCs w:val="24"/>
        </w:rPr>
        <w:t xml:space="preserve">Die Metastasenresektion </w:t>
      </w:r>
      <w:r w:rsidR="0065532C" w:rsidRPr="000F2811">
        <w:rPr>
          <w:rFonts w:ascii="Arial" w:hAnsi="Arial" w:cs="Arial"/>
          <w:iCs/>
          <w:sz w:val="24"/>
          <w:szCs w:val="24"/>
        </w:rPr>
        <w:t>verfolgt</w:t>
      </w:r>
      <w:r w:rsidRPr="000F2811">
        <w:rPr>
          <w:rFonts w:ascii="Arial" w:hAnsi="Arial" w:cs="Arial"/>
          <w:iCs/>
          <w:sz w:val="24"/>
          <w:szCs w:val="24"/>
        </w:rPr>
        <w:t xml:space="preserve"> zwei Ziele: </w:t>
      </w:r>
      <w:r w:rsidR="0065532C" w:rsidRPr="000F2811">
        <w:rPr>
          <w:rFonts w:ascii="Arial" w:hAnsi="Arial" w:cs="Arial"/>
          <w:iCs/>
          <w:sz w:val="24"/>
          <w:szCs w:val="24"/>
        </w:rPr>
        <w:t xml:space="preserve">1) </w:t>
      </w:r>
      <w:r w:rsidRPr="000F2811">
        <w:rPr>
          <w:rFonts w:ascii="Arial" w:hAnsi="Arial" w:cs="Arial"/>
          <w:iCs/>
          <w:sz w:val="24"/>
          <w:szCs w:val="24"/>
        </w:rPr>
        <w:t xml:space="preserve">die Gewinnung von Gewebe zur diagnostischen Sicherung </w:t>
      </w:r>
      <w:r w:rsidR="0065532C" w:rsidRPr="000F2811">
        <w:rPr>
          <w:rFonts w:ascii="Arial" w:hAnsi="Arial" w:cs="Arial"/>
          <w:iCs/>
          <w:sz w:val="24"/>
          <w:szCs w:val="24"/>
        </w:rPr>
        <w:t>und 2)</w:t>
      </w:r>
      <w:r w:rsidRPr="000F2811">
        <w:rPr>
          <w:rFonts w:ascii="Arial" w:hAnsi="Arial" w:cs="Arial"/>
          <w:iCs/>
          <w:sz w:val="24"/>
          <w:szCs w:val="24"/>
        </w:rPr>
        <w:t xml:space="preserve"> eine </w:t>
      </w:r>
      <w:r w:rsidR="002E5E5B">
        <w:rPr>
          <w:rFonts w:ascii="Arial" w:hAnsi="Arial" w:cs="Arial"/>
          <w:iCs/>
          <w:sz w:val="24"/>
          <w:szCs w:val="24"/>
        </w:rPr>
        <w:t xml:space="preserve">Symptomlinderung und damit </w:t>
      </w:r>
      <w:r w:rsidRPr="000F2811">
        <w:rPr>
          <w:rFonts w:ascii="Arial" w:hAnsi="Arial" w:cs="Arial"/>
          <w:iCs/>
          <w:sz w:val="24"/>
          <w:szCs w:val="24"/>
        </w:rPr>
        <w:t xml:space="preserve">Verbesserung des klinischen Zustandes durch eine Beseitigung der lokalen Raumforderung. </w:t>
      </w:r>
    </w:p>
    <w:p w14:paraId="5E9D338B" w14:textId="77777777" w:rsidR="004123AC" w:rsidRPr="000F2811" w:rsidRDefault="004123AC" w:rsidP="002D6BC8">
      <w:pPr>
        <w:spacing w:line="360" w:lineRule="auto"/>
        <w:jc w:val="both"/>
        <w:rPr>
          <w:rFonts w:ascii="Arial" w:hAnsi="Arial" w:cs="Arial"/>
          <w:iCs/>
          <w:sz w:val="24"/>
          <w:szCs w:val="24"/>
        </w:rPr>
      </w:pPr>
    </w:p>
    <w:p w14:paraId="7C3AF33D" w14:textId="2DB6250D" w:rsidR="0065532C" w:rsidRPr="000F2811" w:rsidRDefault="004123AC" w:rsidP="002D6BC8">
      <w:pPr>
        <w:spacing w:line="360" w:lineRule="auto"/>
        <w:jc w:val="both"/>
        <w:rPr>
          <w:rFonts w:ascii="Arial" w:hAnsi="Arial" w:cs="Arial"/>
          <w:i/>
          <w:iCs/>
          <w:sz w:val="24"/>
          <w:szCs w:val="24"/>
        </w:rPr>
      </w:pPr>
      <w:r w:rsidRPr="000F2811">
        <w:rPr>
          <w:rFonts w:ascii="Arial" w:hAnsi="Arial" w:cs="Arial"/>
          <w:i/>
          <w:iCs/>
          <w:sz w:val="24"/>
          <w:szCs w:val="24"/>
        </w:rPr>
        <w:t xml:space="preserve">Histologische Sicherung </w:t>
      </w:r>
    </w:p>
    <w:p w14:paraId="704530E3" w14:textId="0F705899" w:rsidR="004123AC" w:rsidRPr="000F2811" w:rsidRDefault="004123AC" w:rsidP="002D6BC8">
      <w:pPr>
        <w:spacing w:line="360" w:lineRule="auto"/>
        <w:jc w:val="both"/>
        <w:rPr>
          <w:rFonts w:ascii="Arial" w:hAnsi="Arial" w:cs="Arial"/>
          <w:iCs/>
          <w:sz w:val="24"/>
          <w:szCs w:val="24"/>
        </w:rPr>
      </w:pPr>
      <w:r w:rsidRPr="000F2811">
        <w:rPr>
          <w:rFonts w:ascii="Arial" w:hAnsi="Arial" w:cs="Arial"/>
          <w:iCs/>
          <w:sz w:val="24"/>
          <w:szCs w:val="24"/>
        </w:rPr>
        <w:t xml:space="preserve">Zwar ist Diagnosestellung </w:t>
      </w:r>
      <w:r w:rsidR="000F2811" w:rsidRPr="000F2811">
        <w:rPr>
          <w:rFonts w:ascii="Arial" w:hAnsi="Arial" w:cs="Arial"/>
          <w:iCs/>
          <w:sz w:val="24"/>
          <w:szCs w:val="24"/>
        </w:rPr>
        <w:t xml:space="preserve">von </w:t>
      </w:r>
      <w:r w:rsidR="00A14BC1">
        <w:rPr>
          <w:rFonts w:ascii="Arial" w:hAnsi="Arial" w:cs="Arial"/>
          <w:iCs/>
          <w:sz w:val="24"/>
          <w:szCs w:val="24"/>
        </w:rPr>
        <w:t>Hirnmetastasen</w:t>
      </w:r>
      <w:r w:rsidR="002D7220">
        <w:rPr>
          <w:rFonts w:ascii="Arial" w:hAnsi="Arial" w:cs="Arial"/>
          <w:iCs/>
          <w:sz w:val="24"/>
          <w:szCs w:val="24"/>
        </w:rPr>
        <w:t xml:space="preserve"> </w:t>
      </w:r>
      <w:r w:rsidRPr="000F2811">
        <w:rPr>
          <w:rFonts w:ascii="Arial" w:hAnsi="Arial" w:cs="Arial"/>
          <w:iCs/>
          <w:sz w:val="24"/>
          <w:szCs w:val="24"/>
        </w:rPr>
        <w:t>auf der Basis der Bildgebung und Anamnese zumeist verlässlich</w:t>
      </w:r>
      <w:r w:rsidR="000F2811" w:rsidRPr="000F2811">
        <w:rPr>
          <w:rFonts w:ascii="Arial" w:hAnsi="Arial" w:cs="Arial"/>
          <w:iCs/>
          <w:sz w:val="24"/>
          <w:szCs w:val="24"/>
        </w:rPr>
        <w:t>,</w:t>
      </w:r>
      <w:r w:rsidRPr="000F2811">
        <w:rPr>
          <w:rFonts w:ascii="Arial" w:hAnsi="Arial" w:cs="Arial"/>
          <w:iCs/>
          <w:sz w:val="24"/>
          <w:szCs w:val="24"/>
        </w:rPr>
        <w:t xml:space="preserve"> bei unklarem Primarius oder </w:t>
      </w:r>
      <w:r w:rsidR="0065532C" w:rsidRPr="000F2811">
        <w:rPr>
          <w:rFonts w:ascii="Arial" w:hAnsi="Arial" w:cs="Arial"/>
          <w:iCs/>
          <w:sz w:val="24"/>
          <w:szCs w:val="24"/>
        </w:rPr>
        <w:t xml:space="preserve">nicht </w:t>
      </w:r>
      <w:r w:rsidRPr="000F2811">
        <w:rPr>
          <w:rFonts w:ascii="Arial" w:hAnsi="Arial" w:cs="Arial"/>
          <w:iCs/>
          <w:sz w:val="24"/>
          <w:szCs w:val="24"/>
        </w:rPr>
        <w:t xml:space="preserve">konklusiver Bildgebung kann eine Gewebegewinnung zur weiteren Therapiesteuerung erforderlich sein. Weiterhin können </w:t>
      </w:r>
      <w:r w:rsidR="001E237B">
        <w:rPr>
          <w:rFonts w:ascii="Arial" w:hAnsi="Arial" w:cs="Arial"/>
          <w:iCs/>
          <w:sz w:val="24"/>
          <w:szCs w:val="24"/>
        </w:rPr>
        <w:t xml:space="preserve">zerebrale Metastasen </w:t>
      </w:r>
      <w:r w:rsidRPr="000F2811">
        <w:rPr>
          <w:rFonts w:ascii="Arial" w:hAnsi="Arial" w:cs="Arial"/>
          <w:iCs/>
          <w:sz w:val="24"/>
          <w:szCs w:val="24"/>
        </w:rPr>
        <w:t xml:space="preserve">vom Primärtumor abweichende Oberflächenmarker und molekulare Signaturen aufweisen, so dass zur Anpassung der Systemtherapie eine molekulare Analyse der </w:t>
      </w:r>
      <w:r w:rsidR="001E237B">
        <w:rPr>
          <w:rFonts w:ascii="Arial" w:hAnsi="Arial" w:cs="Arial"/>
          <w:iCs/>
          <w:sz w:val="24"/>
          <w:szCs w:val="24"/>
        </w:rPr>
        <w:t>Hirnmetastase</w:t>
      </w:r>
      <w:r w:rsidRPr="000F2811">
        <w:rPr>
          <w:rFonts w:ascii="Arial" w:hAnsi="Arial" w:cs="Arial"/>
          <w:iCs/>
          <w:sz w:val="24"/>
          <w:szCs w:val="24"/>
        </w:rPr>
        <w:t xml:space="preserve"> sinnvoll sein kann. Bei kleinen, asymptomatischen M</w:t>
      </w:r>
      <w:r w:rsidR="001E237B">
        <w:rPr>
          <w:rFonts w:ascii="Arial" w:hAnsi="Arial" w:cs="Arial"/>
          <w:iCs/>
          <w:sz w:val="24"/>
          <w:szCs w:val="24"/>
        </w:rPr>
        <w:t>etastasen</w:t>
      </w:r>
      <w:r w:rsidRPr="000F2811">
        <w:rPr>
          <w:rFonts w:ascii="Arial" w:hAnsi="Arial" w:cs="Arial"/>
          <w:iCs/>
          <w:sz w:val="24"/>
          <w:szCs w:val="24"/>
        </w:rPr>
        <w:t xml:space="preserve"> ist dies</w:t>
      </w:r>
      <w:r w:rsidR="001E237B">
        <w:rPr>
          <w:rFonts w:ascii="Arial" w:hAnsi="Arial" w:cs="Arial"/>
          <w:iCs/>
          <w:sz w:val="24"/>
          <w:szCs w:val="24"/>
        </w:rPr>
        <w:t xml:space="preserve"> auch</w:t>
      </w:r>
      <w:r w:rsidRPr="000F2811">
        <w:rPr>
          <w:rFonts w:ascii="Arial" w:hAnsi="Arial" w:cs="Arial"/>
          <w:iCs/>
          <w:sz w:val="24"/>
          <w:szCs w:val="24"/>
        </w:rPr>
        <w:t xml:space="preserve"> minimalinvasiv im Rahmen einer stereotaktischen Biopsie möglich. </w:t>
      </w:r>
    </w:p>
    <w:p w14:paraId="7C70E5A9" w14:textId="77777777" w:rsidR="004123AC" w:rsidRPr="000F2811" w:rsidRDefault="004123AC" w:rsidP="002D6BC8">
      <w:pPr>
        <w:spacing w:line="360" w:lineRule="auto"/>
        <w:jc w:val="both"/>
        <w:rPr>
          <w:rFonts w:ascii="Arial" w:hAnsi="Arial" w:cs="Arial"/>
          <w:iCs/>
          <w:sz w:val="24"/>
          <w:szCs w:val="24"/>
        </w:rPr>
      </w:pPr>
    </w:p>
    <w:p w14:paraId="1108540E" w14:textId="3FB81F71" w:rsidR="004123AC" w:rsidRPr="002E5E5B" w:rsidRDefault="002E5E5B" w:rsidP="002D6BC8">
      <w:pPr>
        <w:spacing w:line="360" w:lineRule="auto"/>
        <w:jc w:val="both"/>
        <w:rPr>
          <w:rFonts w:ascii="Arial" w:hAnsi="Arial" w:cs="Arial"/>
          <w:i/>
          <w:iCs/>
          <w:sz w:val="24"/>
          <w:szCs w:val="24"/>
        </w:rPr>
      </w:pPr>
      <w:r>
        <w:rPr>
          <w:rFonts w:ascii="Arial" w:hAnsi="Arial" w:cs="Arial"/>
          <w:i/>
          <w:iCs/>
          <w:sz w:val="24"/>
          <w:szCs w:val="24"/>
        </w:rPr>
        <w:t>Symptomlinderung</w:t>
      </w:r>
    </w:p>
    <w:p w14:paraId="0BCAD624" w14:textId="4060BB00" w:rsidR="004123AC" w:rsidRPr="000F2811" w:rsidRDefault="004123AC" w:rsidP="002D6BC8">
      <w:pPr>
        <w:spacing w:line="360" w:lineRule="auto"/>
        <w:jc w:val="both"/>
        <w:rPr>
          <w:rFonts w:ascii="Arial" w:hAnsi="Arial" w:cs="Arial"/>
          <w:iCs/>
          <w:sz w:val="24"/>
          <w:szCs w:val="24"/>
        </w:rPr>
      </w:pPr>
      <w:r w:rsidRPr="000F2811">
        <w:rPr>
          <w:rFonts w:ascii="Arial" w:hAnsi="Arial" w:cs="Arial"/>
          <w:iCs/>
          <w:sz w:val="24"/>
          <w:szCs w:val="24"/>
        </w:rPr>
        <w:t xml:space="preserve">Bei symptomatischen </w:t>
      </w:r>
      <w:r w:rsidR="001E237B">
        <w:rPr>
          <w:rFonts w:ascii="Arial" w:hAnsi="Arial" w:cs="Arial"/>
          <w:iCs/>
          <w:sz w:val="24"/>
          <w:szCs w:val="24"/>
        </w:rPr>
        <w:t>Hirnmetastasen</w:t>
      </w:r>
      <w:r w:rsidRPr="000F2811">
        <w:rPr>
          <w:rFonts w:ascii="Arial" w:hAnsi="Arial" w:cs="Arial"/>
          <w:iCs/>
          <w:sz w:val="24"/>
          <w:szCs w:val="24"/>
        </w:rPr>
        <w:t xml:space="preserve"> durch entsprechende Lage und/oder </w:t>
      </w:r>
      <w:r w:rsidR="0065532C" w:rsidRPr="000F2811">
        <w:rPr>
          <w:rFonts w:ascii="Arial" w:hAnsi="Arial" w:cs="Arial"/>
          <w:iCs/>
          <w:sz w:val="24"/>
          <w:szCs w:val="24"/>
        </w:rPr>
        <w:t xml:space="preserve">ein </w:t>
      </w:r>
      <w:r w:rsidRPr="000F2811">
        <w:rPr>
          <w:rFonts w:ascii="Arial" w:hAnsi="Arial" w:cs="Arial"/>
          <w:iCs/>
          <w:sz w:val="24"/>
          <w:szCs w:val="24"/>
        </w:rPr>
        <w:t>ausgedehntes perifokales Ödem kann die Resektion der Raumforderung zu einer durchgreifenden Verbesserung der neurologischen Ausfälle und konsekutiv des klinischen Zustands führen.</w:t>
      </w:r>
      <w:r w:rsidR="00D14293">
        <w:rPr>
          <w:rFonts w:ascii="Arial" w:hAnsi="Arial" w:cs="Arial"/>
          <w:iCs/>
          <w:sz w:val="24"/>
          <w:szCs w:val="24"/>
        </w:rPr>
        <w:fldChar w:fldCharType="begin" w:fldLock="1"/>
      </w:r>
      <w:r w:rsidR="004B408B">
        <w:rPr>
          <w:rFonts w:ascii="Arial" w:hAnsi="Arial" w:cs="Arial"/>
          <w:iCs/>
          <w:sz w:val="24"/>
          <w:szCs w:val="24"/>
        </w:rPr>
        <w:instrText>ADDIN CSL_CITATION {"citationItems":[{"id":"ITEM-1","itemData":{"DOI":"10.3390/ijms14058708","ISSN":"1422-0067","PMID":"23615466","abstract":"Brain metastases (BM) develop in about 30% of all cancer patients. Surgery plays an important role in confirming neuropathological diagnosis, relieving mass effects and improving the neurological status. To select patients with the highest benefit from surgical resection, prognostic indices (RPA, GPA) have been formulated which are solely focused on survival without considering neurological improvement. In this study we analyzed the impact of surgical resection on the neurological status in addition to overall survival in 206 BM patients. Surgical mortality and morbidity was 0.0% and 10.3% respectively. New neurologic deficits occurred in 6.3% of all patients. The median overall survival was 6.3 months. Poor RPA class and short time interval between diagnosis of cancer and the occurrence of BM were independent factors predictive for poor survival. Improvement of neurological performance was achieved in 56.8% of all patients, with the highest improvement rate seen in patients presenting with increased intracranial pressure and hemiparesis. Notably, the neurological benefits were independent from RPA class. In conclusion, surgical resection leads to significant neurological improvement despite poor RPA class and short overall survival. Considering the low mortality and morbidity rates, resection should be considered as a valid option to increase neurological function and quality of life for patients with BM.","author":[{"dropping-particle":"","family":"Schödel","given":"Petra","non-dropping-particle":"","parse-names":false,"suffix":""},{"dropping-particle":"","family":"Schebesch","given":"Karl-Michael","non-dropping-particle":"","parse-names":false,"suffix":""},{"dropping-particle":"","family":"Brawanski","given":"Alexander","non-dropping-particle":"","parse-names":false,"suffix":""},{"dropping-particle":"","family":"Proescholdt","given":"Martin","non-dropping-particle":"","parse-names":false,"suffix":""}],"container-title":"International Journal of Molecular Sciences","id":"ITEM-1","issue":"5","issued":{"date-parts":[["2013","4","24"]]},"page":"8708-8718","title":"Surgical Resection of Brain Metastases—Impact on Neurological Outcome","type":"article-journal","volume":"14"},"uris":["http://www.mendeley.com/documents/?uuid=e76cf4c7-b1dc-31f1-9472-382234c0f04d"]},{"id":"ITEM-2","itemData":{"DOI":"10.1002/cam4.3402","ISSN":"2045-7634","PMID":"32858763","abstract":"BACKGROUND Brain metastases (BM) frequently cause focal neurological deficits leading to a reduced Karnofsky performance score (KPS). Since KPS is routinely used to guide the choice of adjuvant therapy, we hypothesized that improving KPS by surgical resection may improve the chance for adjuvant treatment and ultimately result in better survival. We therefore analyzed the course of a large cohort undergoing resection of symptomatic brain metastases in the context of further treatment and clinical outcome. PATIENTS AND METHODS In a bi-centric retrospective analysis we retrieved baseline, clinical, and treatment-related parameters of patients operated on BM between 2010 and 2019. Survival was calculated using Kaplan-Meier estimates; prognostic factors for survival were analyzed by Log-rank test and Cox proportional hazards. RESULTS We included 750 patients with a median age of 61 (19-87) years. The functional status was significantly improved by surgical resection, with a median preoperative (KPS) of 80 (10-100) increasing to 90 (0-100) after surgery (P &lt; .0001). Moreover, surgery improved the RTOG recursive partitioning analysis (RPA) class from III to I/II in 82 patients. Postoperative local radiotherapy and systemic treatment were associated with significantly longer survival (P &lt; .0001 for each). Systemic treatment was provided significantly more frequently in patients with a fair postoperative clinical status (KPS ≥ 70; P &lt; .0001). The postoperative clinical status, postoperative radiotherapy, systemic treatment, controlled systemic disease and &lt; 4 BM were independent predictors for survival. CONCLUSION The resection of symptomatic BM may restore clinical status, so enhancing the likelihood of receiving adjuvant treatment, and therefore leading to improved overall survival.","author":[{"dropping-particle":"","family":"Schödel","given":"Petra","non-dropping-particle":"","parse-names":false,"suffix":""},{"dropping-particle":"","family":"Jünger","given":"Stephanie T","non-dropping-particle":"","parse-names":false,"suffix":""},{"dropping-particle":"","family":"Wittersheim","given":"Maike","non-dropping-particle":"","parse-names":false,"suffix":""},{"dropping-particle":"","family":"Reinhardt","given":"Hans Christian","non-dropping-particle":"","parse-names":false,"suffix":""},{"dropping-particle":"","family":"Schmidt","given":"Nils-Ole","non-dropping-particle":"","parse-names":false,"suffix":""},{"dropping-particle":"","family":"Goldbrunner","given":"Roland","non-dropping-particle":"","parse-names":false,"suffix":""},{"dropping-particle":"","family":"Proescholdt","given":"Martin","non-dropping-particle":"","parse-names":false,"suffix":""},{"dropping-particle":"","family":"Grau","given":"Stefan","non-dropping-particle":"","parse-names":false,"suffix":""}],"container-title":"Cancer medicine","id":"ITEM-2","issued":{"date-parts":[["2020","8","28"]]},"publisher":"Blackwell Publishing Ltd","title":"Surgical resection of symptomatic brain metastases improves the clinical status and facilitates further treatment.","type":"article-journal"},"uris":["http://www.mendeley.com/documents/?uuid=13466b92-c64a-32c6-a33c-b7e8a9f9c819"]}],"mendeley":{"formattedCitation":"&lt;sup&gt;11,12&lt;/sup&gt;","plainTextFormattedCitation":"11,12","previouslyFormattedCitation":"&lt;sup&gt;11,12&lt;/sup&gt;"},"properties":{"noteIndex":0},"schema":"https://github.com/citation-style-language/schema/raw/master/csl-citation.json"}</w:instrText>
      </w:r>
      <w:r w:rsidR="00D14293">
        <w:rPr>
          <w:rFonts w:ascii="Arial" w:hAnsi="Arial" w:cs="Arial"/>
          <w:iCs/>
          <w:sz w:val="24"/>
          <w:szCs w:val="24"/>
        </w:rPr>
        <w:fldChar w:fldCharType="separate"/>
      </w:r>
      <w:r w:rsidR="004B408B" w:rsidRPr="004B408B">
        <w:rPr>
          <w:rFonts w:ascii="Arial" w:hAnsi="Arial" w:cs="Arial"/>
          <w:iCs/>
          <w:noProof/>
          <w:sz w:val="24"/>
          <w:szCs w:val="24"/>
          <w:vertAlign w:val="superscript"/>
        </w:rPr>
        <w:t>11,12</w:t>
      </w:r>
      <w:r w:rsidR="00D14293">
        <w:rPr>
          <w:rFonts w:ascii="Arial" w:hAnsi="Arial" w:cs="Arial"/>
          <w:iCs/>
          <w:sz w:val="24"/>
          <w:szCs w:val="24"/>
        </w:rPr>
        <w:fldChar w:fldCharType="end"/>
      </w:r>
      <w:r w:rsidRPr="000F2811">
        <w:rPr>
          <w:rFonts w:ascii="Arial" w:hAnsi="Arial" w:cs="Arial"/>
          <w:iCs/>
          <w:sz w:val="24"/>
          <w:szCs w:val="24"/>
        </w:rPr>
        <w:t xml:space="preserve"> Dies hat </w:t>
      </w:r>
      <w:r w:rsidR="000F2811" w:rsidRPr="000F2811">
        <w:rPr>
          <w:rFonts w:ascii="Arial" w:hAnsi="Arial" w:cs="Arial"/>
          <w:iCs/>
          <w:sz w:val="24"/>
          <w:szCs w:val="24"/>
        </w:rPr>
        <w:t>neben eine</w:t>
      </w:r>
      <w:r w:rsidR="0042445A">
        <w:rPr>
          <w:rFonts w:ascii="Arial" w:hAnsi="Arial" w:cs="Arial"/>
          <w:iCs/>
          <w:sz w:val="24"/>
          <w:szCs w:val="24"/>
        </w:rPr>
        <w:t>m</w:t>
      </w:r>
      <w:r w:rsidR="000F2811" w:rsidRPr="000F2811">
        <w:rPr>
          <w:rFonts w:ascii="Arial" w:hAnsi="Arial" w:cs="Arial"/>
          <w:iCs/>
          <w:sz w:val="24"/>
          <w:szCs w:val="24"/>
        </w:rPr>
        <w:t xml:space="preserve"> bei großen Tumoren oder Tumorblutungen lebensrettenden Effekt auch </w:t>
      </w:r>
      <w:r w:rsidRPr="000F2811">
        <w:rPr>
          <w:rFonts w:ascii="Arial" w:hAnsi="Arial" w:cs="Arial"/>
          <w:iCs/>
          <w:sz w:val="24"/>
          <w:szCs w:val="24"/>
        </w:rPr>
        <w:t>einen indirekten Einfluss auf das Überleben des Patienten, da der klinische Zustand sich als einer der stärksten prognostischen Faktoren in allen Progno</w:t>
      </w:r>
      <w:r w:rsidRPr="000F2811">
        <w:rPr>
          <w:rFonts w:ascii="Arial" w:hAnsi="Arial" w:cs="Arial"/>
          <w:iCs/>
          <w:sz w:val="24"/>
          <w:szCs w:val="24"/>
        </w:rPr>
        <w:lastRenderedPageBreak/>
        <w:t>sescores widerfindet.</w:t>
      </w:r>
      <w:r w:rsidR="00D14293">
        <w:rPr>
          <w:rFonts w:ascii="Arial" w:hAnsi="Arial" w:cs="Arial"/>
          <w:iCs/>
          <w:sz w:val="24"/>
          <w:szCs w:val="24"/>
        </w:rPr>
        <w:fldChar w:fldCharType="begin" w:fldLock="1"/>
      </w:r>
      <w:r w:rsidR="004B408B">
        <w:rPr>
          <w:rFonts w:ascii="Arial" w:hAnsi="Arial" w:cs="Arial"/>
          <w:iCs/>
          <w:sz w:val="24"/>
          <w:szCs w:val="24"/>
        </w:rPr>
        <w:instrText>ADDIN CSL_CITATION {"citationItems":[{"id":"ITEM-1","itemData":{"ISSN":"0360-3016","PMID":"9128946","abstract":"PURPOSE Promising results from new approaches such as radiosurgery or stereotactic surgery of brain metastases have recently been reported. Are these results due to the therapy alone or can the results be attributed in part to patient selection? An analysis of tumor/patient characteristics and treatment variables in previous Radiation Therapy Oncology Group (RTOG) brain metastases studies was considered necessary to fully evaluate the benefit of these new interventions. METHODS AND MATERIALS The database included 1200 patients from three consecutive RTOG trials conducted between 1979 and 1993, which tested several different dose fractionation schemes and radiation sensitizers. Using recursive partitioning analysis (RPA), a statistical methodology which creates a regression tree according to prognostic significance, eighteen pretreatment characteristics and three treatment-related variables were analyzed. RESULTS According to the RPA tree the best survival (median: 7.1 months) was observed in patients &lt; 65 years of age with a Karnofsky Performance Status (KPS) of at least 70, and a controlled primary tumor with the brain the only site of metastases. The worst survival (median: 2.3 months) was seen in patients with a KPS less than 70. All other patients had relatively minor differences in observed survival, with a median of 4.2 months. CONCLUSIONS Based on this analysis, we suggest the following three classes: Class 1: patients with KPS &gt; or = 70, &lt; 65 years of age with controlled primary and no extracranial metastases; Class 3: KPS &lt; 70; Class 2- all others. Using these classes or stages, new treatment techniques can be tested on homogeneous patient groups.","author":[{"dropping-particle":"","family":"Gaspar","given":"L","non-dropping-particle":"","parse-names":false,"suffix":""},{"dropping-particle":"","family":"Scott","given":"C","non-dropping-particle":"","parse-names":false,"suffix":""},{"dropping-particle":"","family":"Rotman","given":"M","non-dropping-particle":"","parse-names":false,"suffix":""},{"dropping-particle":"","family":"Asbell","given":"S","non-dropping-particle":"","parse-names":false,"suffix":""},{"dropping-particle":"","family":"Phillips","given":"T","non-dropping-particle":"","parse-names":false,"suffix":""},{"dropping-particle":"","family":"Wasserman","given":"T","non-dropping-particle":"","parse-names":false,"suffix":""},{"dropping-particle":"","family":"McKenna","given":"W G","non-dropping-particle":"","parse-names":false,"suffix":""},{"dropping-particle":"","family":"Byhardt","given":"R","non-dropping-particle":"","parse-names":false,"suffix":""}],"container-title":"International journal of radiation oncology, biology, physics","id":"ITEM-1","issue":"4","issued":{"date-parts":[["1997","3","1"]]},"page":"745-51","title":"Recursive partitioning analysis (RPA) of prognostic factors in three Radiation Therapy Oncology Group (RTOG) brain metastases trials.","type":"article-journal","volume":"37"},"uris":["http://www.mendeley.com/documents/?uuid=b024efb5-fa4d-3d7d-a90c-16a565c4e6e1"]},{"id":"ITEM-2","itemData":{"DOI":"10.1016/j.ijrobp.2007.06.074","ISSN":"03603016","PMID":"17931798","abstract":"PURPOSE The purpose of this study is to introduce a new prognostic index for patients with brain metastases and compare it with three published indices. Treatment for brain metastases varies widely. A sound prognostic index is thus important to guide both clinical decision making and outcomes research. METHODS AND MATERIALS A new index was developed because of limitations in the three existing indices and new data (Radiation Therapy Oncology Group 9508) are available since the others were developed. All four indices were compared using the Radiation Therapy Oncology Group database of 1,960 patients with brain metastases from five randomized trials. The ability of the four indices to distinguish its separate classes was determined statistically. Advantages and disadvantages of each index are discussed. RESULTS Recursive partitioning analysis (RPA) and the new Graded Prognostic Assessment (GPA) had the most statistically significant differences between classes (p &lt; 0.001 for all classes). CONCLUSIONS The new index, the GPA, is as prognostic as the RPA and more prognostic than the other indices. The GPA is the least subjective, most quantitative and easiest to use of the four indices. Future clinical trials should compare the GPA with the RPA to prospectively validate these findings.","author":[{"dropping-particle":"","family":"Sperduto","given":"Paul W.","non-dropping-particle":"","parse-names":false,"suffix":""},{"dropping-particle":"","family":"Berkey","given":"Brian","non-dropping-particle":"","parse-names":false,"suffix":""},{"dropping-particle":"","family":"Gaspar","given":"Laurie E.","non-dropping-particle":"","parse-names":false,"suffix":""},{"dropping-particle":"","family":"Mehta","given":"Minesh","non-dropping-particle":"","parse-names":false,"suffix":""},{"dropping-particle":"","family":"Curran","given":"Walter","non-dropping-particle":"","parse-names":false,"suffix":""}],"container-title":"International Journal of Radiation Oncology*Biology*Physics","id":"ITEM-2","issue":"2","issued":{"date-parts":[["2008","2","1"]]},"page":"510-514","title":"A New Prognostic Index and Comparison to Three Other Indices for Patients With Brain Metastases: An Analysis of 1,960 Patients in the RTOG Database","type":"article-journal","volume":"70"},"uris":["http://www.mendeley.com/documents/?uuid=70e7a1ba-00db-3e8b-b9bb-1ea9e1592535"]}],"mendeley":{"formattedCitation":"&lt;sup&gt;13,14&lt;/sup&gt;","plainTextFormattedCitation":"13,14","previouslyFormattedCitation":"&lt;sup&gt;13,14&lt;/sup&gt;"},"properties":{"noteIndex":0},"schema":"https://github.com/citation-style-language/schema/raw/master/csl-citation.json"}</w:instrText>
      </w:r>
      <w:r w:rsidR="00D14293">
        <w:rPr>
          <w:rFonts w:ascii="Arial" w:hAnsi="Arial" w:cs="Arial"/>
          <w:iCs/>
          <w:sz w:val="24"/>
          <w:szCs w:val="24"/>
        </w:rPr>
        <w:fldChar w:fldCharType="separate"/>
      </w:r>
      <w:r w:rsidR="004B408B" w:rsidRPr="004B408B">
        <w:rPr>
          <w:rFonts w:ascii="Arial" w:hAnsi="Arial" w:cs="Arial"/>
          <w:iCs/>
          <w:noProof/>
          <w:sz w:val="24"/>
          <w:szCs w:val="24"/>
          <w:vertAlign w:val="superscript"/>
        </w:rPr>
        <w:t>13,14</w:t>
      </w:r>
      <w:r w:rsidR="00D14293">
        <w:rPr>
          <w:rFonts w:ascii="Arial" w:hAnsi="Arial" w:cs="Arial"/>
          <w:iCs/>
          <w:sz w:val="24"/>
          <w:szCs w:val="24"/>
        </w:rPr>
        <w:fldChar w:fldCharType="end"/>
      </w:r>
      <w:r w:rsidRPr="000F2811">
        <w:rPr>
          <w:rFonts w:ascii="Arial" w:hAnsi="Arial" w:cs="Arial"/>
          <w:iCs/>
          <w:sz w:val="24"/>
          <w:szCs w:val="24"/>
        </w:rPr>
        <w:t xml:space="preserve"> Weiterhin kann eine klinische Zustandsverbesserung die weitere onkologische Therapie häufig erst ermöglichen, was sich in einem verbesserten Gesamtüberleben widerspiegelt.</w:t>
      </w:r>
      <w:r w:rsidR="00D14293">
        <w:rPr>
          <w:rFonts w:ascii="Arial" w:hAnsi="Arial" w:cs="Arial"/>
          <w:iCs/>
          <w:sz w:val="24"/>
          <w:szCs w:val="24"/>
        </w:rPr>
        <w:fldChar w:fldCharType="begin" w:fldLock="1"/>
      </w:r>
      <w:r w:rsidR="004B408B">
        <w:rPr>
          <w:rFonts w:ascii="Arial" w:hAnsi="Arial" w:cs="Arial"/>
          <w:iCs/>
          <w:sz w:val="24"/>
          <w:szCs w:val="24"/>
        </w:rPr>
        <w:instrText>ADDIN CSL_CITATION {"citationItems":[{"id":"ITEM-1","itemData":{"DOI":"10.1002/cam4.3402","ISSN":"2045-7634","PMID":"32858763","abstract":"BACKGROUND Brain metastases (BM) frequently cause focal neurological deficits leading to a reduced Karnofsky performance score (KPS). Since KPS is routinely used to guide the choice of adjuvant therapy, we hypothesized that improving KPS by surgical resection may improve the chance for adjuvant treatment and ultimately result in better survival. We therefore analyzed the course of a large cohort undergoing resection of symptomatic brain metastases in the context of further treatment and clinical outcome. PATIENTS AND METHODS In a bi-centric retrospective analysis we retrieved baseline, clinical, and treatment-related parameters of patients operated on BM between 2010 and 2019. Survival was calculated using Kaplan-Meier estimates; prognostic factors for survival were analyzed by Log-rank test and Cox proportional hazards. RESULTS We included 750 patients with a median age of 61 (19-87) years. The functional status was significantly improved by surgical resection, with a median preoperative (KPS) of 80 (10-100) increasing to 90 (0-100) after surgery (P &lt; .0001). Moreover, surgery improved the RTOG recursive partitioning analysis (RPA) class from III to I/II in 82 patients. Postoperative local radiotherapy and systemic treatment were associated with significantly longer survival (P &lt; .0001 for each). Systemic treatment was provided significantly more frequently in patients with a fair postoperative clinical status (KPS ≥ 70; P &lt; .0001). The postoperative clinical status, postoperative radiotherapy, systemic treatment, controlled systemic disease and &lt; 4 BM were independent predictors for survival. CONCLUSION The resection of symptomatic BM may restore clinical status, so enhancing the likelihood of receiving adjuvant treatment, and therefore leading to improved overall survival.","author":[{"dropping-particle":"","family":"Schödel","given":"Petra","non-dropping-particle":"","parse-names":false,"suffix":""},{"dropping-particle":"","family":"Jünger","given":"Stephanie T","non-dropping-particle":"","parse-names":false,"suffix":""},{"dropping-particle":"","family":"Wittersheim","given":"Maike","non-dropping-particle":"","parse-names":false,"suffix":""},{"dropping-particle":"","family":"Reinhardt","given":"Hans Christian","non-dropping-particle":"","parse-names":false,"suffix":""},{"dropping-particle":"","family":"Schmidt","given":"Nils-Ole","non-dropping-particle":"","parse-names":false,"suffix":""},{"dropping-particle":"","family":"Goldbrunner","given":"Roland","non-dropping-particle":"","parse-names":false,"suffix":""},{"dropping-particle":"","family":"Proescholdt","given":"Martin","non-dropping-particle":"","parse-names":false,"suffix":""},{"dropping-particle":"","family":"Grau","given":"Stefan","non-dropping-particle":"","parse-names":false,"suffix":""}],"container-title":"Cancer medicine","id":"ITEM-1","issued":{"date-parts":[["2020","8","28"]]},"publisher":"Blackwell Publishing Ltd","title":"Surgical resection of symptomatic brain metastases improves the clinical status and facilitates further treatment.","type":"article-journal"},"uris":["http://www.mendeley.com/documents/?uuid=13466b92-c64a-32c6-a33c-b7e8a9f9c819"]}],"mendeley":{"formattedCitation":"&lt;sup&gt;12&lt;/sup&gt;","plainTextFormattedCitation":"12","previouslyFormattedCitation":"&lt;sup&gt;12&lt;/sup&gt;"},"properties":{"noteIndex":0},"schema":"https://github.com/citation-style-language/schema/raw/master/csl-citation.json"}</w:instrText>
      </w:r>
      <w:r w:rsidR="00D14293">
        <w:rPr>
          <w:rFonts w:ascii="Arial" w:hAnsi="Arial" w:cs="Arial"/>
          <w:iCs/>
          <w:sz w:val="24"/>
          <w:szCs w:val="24"/>
        </w:rPr>
        <w:fldChar w:fldCharType="separate"/>
      </w:r>
      <w:r w:rsidR="004B408B" w:rsidRPr="004B408B">
        <w:rPr>
          <w:rFonts w:ascii="Arial" w:hAnsi="Arial" w:cs="Arial"/>
          <w:iCs/>
          <w:noProof/>
          <w:sz w:val="24"/>
          <w:szCs w:val="24"/>
          <w:vertAlign w:val="superscript"/>
        </w:rPr>
        <w:t>12</w:t>
      </w:r>
      <w:r w:rsidR="00D14293">
        <w:rPr>
          <w:rFonts w:ascii="Arial" w:hAnsi="Arial" w:cs="Arial"/>
          <w:iCs/>
          <w:sz w:val="24"/>
          <w:szCs w:val="24"/>
        </w:rPr>
        <w:fldChar w:fldCharType="end"/>
      </w:r>
      <w:r w:rsidRPr="000F2811">
        <w:rPr>
          <w:rFonts w:ascii="Arial" w:hAnsi="Arial" w:cs="Arial"/>
          <w:iCs/>
          <w:sz w:val="24"/>
          <w:szCs w:val="24"/>
        </w:rPr>
        <w:t xml:space="preserve"> </w:t>
      </w:r>
    </w:p>
    <w:p w14:paraId="03000E5A" w14:textId="4AFD81B2" w:rsidR="002D6BC8" w:rsidRPr="000F2811" w:rsidRDefault="004123AC" w:rsidP="002D6BC8">
      <w:pPr>
        <w:spacing w:line="360" w:lineRule="auto"/>
        <w:jc w:val="both"/>
        <w:rPr>
          <w:rFonts w:ascii="Arial" w:hAnsi="Arial" w:cs="Arial"/>
          <w:iCs/>
          <w:sz w:val="24"/>
          <w:szCs w:val="24"/>
        </w:rPr>
      </w:pPr>
      <w:r w:rsidRPr="000F2811">
        <w:rPr>
          <w:rFonts w:ascii="Arial" w:hAnsi="Arial" w:cs="Arial"/>
          <w:iCs/>
          <w:sz w:val="24"/>
          <w:szCs w:val="24"/>
        </w:rPr>
        <w:t xml:space="preserve">Bis heute existiert kein evidenzbasiert definiertes Limit hinsichtlich der Anzahl der Metastasen; </w:t>
      </w:r>
      <w:r w:rsidR="002D6BC8" w:rsidRPr="000F2811">
        <w:rPr>
          <w:rFonts w:ascii="Arial" w:hAnsi="Arial" w:cs="Arial"/>
          <w:iCs/>
          <w:sz w:val="24"/>
          <w:szCs w:val="24"/>
        </w:rPr>
        <w:t xml:space="preserve">im Kontext der multimodalen Behandlungsansätze findet sich im klinischen Alltag bei multiplen Metastasen der Fokus auf den symptomatischen Tumor. </w:t>
      </w:r>
    </w:p>
    <w:p w14:paraId="7A65679F" w14:textId="51A3F57F" w:rsidR="000F2811" w:rsidRPr="000F2811" w:rsidRDefault="000F2811" w:rsidP="002D6BC8">
      <w:pPr>
        <w:spacing w:line="360" w:lineRule="auto"/>
        <w:jc w:val="both"/>
        <w:rPr>
          <w:rFonts w:ascii="Arial" w:hAnsi="Arial" w:cs="Arial"/>
          <w:iCs/>
          <w:sz w:val="24"/>
          <w:szCs w:val="24"/>
        </w:rPr>
      </w:pPr>
      <w:r w:rsidRPr="000F2811">
        <w:rPr>
          <w:rFonts w:ascii="Arial" w:hAnsi="Arial" w:cs="Arial"/>
          <w:iCs/>
          <w:sz w:val="24"/>
          <w:szCs w:val="24"/>
        </w:rPr>
        <w:t xml:space="preserve">Für die Resektion kommen heute neben Hochleistungsmikroskopen auch moderne Hilfsmittel wie das intraoperative Neuromonitoring, die Navigation sowie die intraoperative Bildgebung zur Anwendung. </w:t>
      </w:r>
    </w:p>
    <w:p w14:paraId="7F79C980" w14:textId="10663658" w:rsidR="00205305" w:rsidRPr="000F2811" w:rsidRDefault="000F2811"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sidRPr="000F2811">
        <w:rPr>
          <w:rFonts w:eastAsia="Times New Roman"/>
          <w:color w:val="000000"/>
          <w:lang w:val="de-AT" w:eastAsia="de-AT"/>
        </w:rPr>
        <w:t>Trotz technischer Innovationen wird d</w:t>
      </w:r>
      <w:r w:rsidR="002D6BC8" w:rsidRPr="000F2811">
        <w:rPr>
          <w:rFonts w:eastAsia="Times New Roman"/>
          <w:color w:val="000000"/>
          <w:lang w:val="de-AT" w:eastAsia="de-AT"/>
        </w:rPr>
        <w:t xml:space="preserve">as Risikoprofil der Metastasenresektion in vielen Studien als höher als bei hirneigenen Tumoren </w:t>
      </w:r>
      <w:r w:rsidRPr="000F2811">
        <w:rPr>
          <w:rFonts w:eastAsia="Times New Roman"/>
          <w:color w:val="000000"/>
          <w:lang w:val="de-AT" w:eastAsia="de-AT"/>
        </w:rPr>
        <w:t>eingestuft</w:t>
      </w:r>
      <w:r w:rsidR="002D6BC8" w:rsidRPr="000F2811">
        <w:rPr>
          <w:rFonts w:eastAsia="Times New Roman"/>
          <w:color w:val="000000"/>
          <w:lang w:val="de-AT" w:eastAsia="de-AT"/>
        </w:rPr>
        <w:t xml:space="preserve">, was </w:t>
      </w:r>
      <w:r w:rsidRPr="000F2811">
        <w:rPr>
          <w:rFonts w:eastAsia="Times New Roman"/>
          <w:color w:val="000000"/>
          <w:lang w:val="de-AT" w:eastAsia="de-AT"/>
        </w:rPr>
        <w:t xml:space="preserve">mitunter </w:t>
      </w:r>
      <w:r w:rsidR="00A14BC1">
        <w:rPr>
          <w:rFonts w:eastAsia="Times New Roman"/>
          <w:color w:val="000000"/>
          <w:lang w:val="de-AT" w:eastAsia="de-AT"/>
        </w:rPr>
        <w:t>nicht auf den Lokalbefund</w:t>
      </w:r>
      <w:r w:rsidR="0050172A">
        <w:rPr>
          <w:rFonts w:eastAsia="Times New Roman"/>
          <w:color w:val="000000"/>
          <w:lang w:val="de-AT" w:eastAsia="de-AT"/>
        </w:rPr>
        <w:t>,</w:t>
      </w:r>
      <w:r w:rsidR="00A14BC1">
        <w:rPr>
          <w:rFonts w:eastAsia="Times New Roman"/>
          <w:color w:val="000000"/>
          <w:lang w:val="de-AT" w:eastAsia="de-AT"/>
        </w:rPr>
        <w:t xml:space="preserve"> sondern </w:t>
      </w:r>
      <w:r w:rsidR="002D6BC8" w:rsidRPr="000F2811">
        <w:rPr>
          <w:rFonts w:eastAsia="Times New Roman"/>
          <w:color w:val="000000"/>
          <w:lang w:val="de-AT" w:eastAsia="de-AT"/>
        </w:rPr>
        <w:t>auf die onkologische Grunderkrankung und deren Folgen zurückzuführen ist.</w:t>
      </w:r>
      <w:r w:rsidR="00D14293">
        <w:rPr>
          <w:rFonts w:eastAsia="Times New Roman"/>
          <w:color w:val="000000"/>
          <w:lang w:val="de-AT" w:eastAsia="de-AT"/>
        </w:rPr>
        <w:fldChar w:fldCharType="begin" w:fldLock="1"/>
      </w:r>
      <w:r w:rsidR="004B408B">
        <w:rPr>
          <w:rFonts w:eastAsia="Times New Roman"/>
          <w:color w:val="000000"/>
          <w:lang w:val="de-AT" w:eastAsia="de-AT"/>
        </w:rPr>
        <w:instrText>ADDIN CSL_CITATION {"citationItems":[{"id":"ITEM-1","itemData":{"DOI":"10.1007/s00701-013-1619-y","ISSN":"0001-6268","PMID":"23325516","abstract":"BACKGROUND Advancements over the past generation have yielded several new treatment options for the management of brain metastases. However, surgical resection (SR) still remains the mainstay of treatment and is performed especially if decompression is required. The goal of this study was to evaluate the role of surgical resection for patients with brain metastases and to find the best indications for SR. METHODS SR as an initial treatment was performed in 157 patients. Among the 157 patients, 109 (69.4 %) and 17 (10.8 %) underwent adjuvant whole-brain radiotherapy and radiosurgery, respectively. Thirty-one (19.7 %) patients did not undergo adjuvant treatment. Overall survival, tumour recurrence, and clinical outcomes were evaluated. The clinical situation was classified based on the recursive partitioning analysis (RPA) class and Karnofsky performance scale (KPS). RESULTS The overall median survival was 19.3 months. Median survival according to the extent of surgical resection was 20.4 months after gross total resection (GTR) and 15.1 months after subtotal resection (STR) (P = 0.016). The patients with stable primary extracranial cancer survived longer than patients with synchronous detection of extracranial cancer (P = 0.032). The RPA I class patients showed longer survival than the RPA II class patients (P = 0.047). This difference was more prominent in the GTR group than in the STR group (GTR, P = 0.022; STR, P = 0.075). The KPS score of the GTR group changed from 82.3 to 87.0 and that of the STR group changed from 79.2 to 77.1 (P = 0.001). Adjuvant treatment did not lead to a significant improvement in the survival and clinical outcome. CONCLUSIONS Surgical resection may accomplish satisfactory outcomes with technical advancement. The best indications for SR for brain metastasis are RPA I class, stable extracranial cancer, and a planned GTR of the tumour. Even with the advancements in adjuvant therapy, surgical resection plays a major role in the management of brain metastasis.","author":[{"dropping-particle":"","family":"Lee","given":"Chang-Hyun","non-dropping-particle":"","parse-names":false,"suffix":""},{"dropping-particle":"","family":"Kim","given":"Dong Gyu","non-dropping-particle":"","parse-names":false,"suffix":""},{"dropping-particle":"","family":"Kim","given":"Jin Wook","non-dropping-particle":"","parse-names":false,"suffix":""},{"dropping-particle":"","family":"Han","given":"Jung Ho","non-dropping-particle":"","parse-names":false,"suffix":""},{"dropping-particle":"","family":"Kim","given":"Yong Hwy","non-dropping-particle":"","parse-names":false,"suffix":""},{"dropping-particle":"","family":"Park","given":"Chul-Kee","non-dropping-particle":"","parse-names":false,"suffix":""},{"dropping-particle":"","family":"Kim","given":"Chae-Yong","non-dropping-particle":"","parse-names":false,"suffix":""},{"dropping-particle":"","family":"Paek","given":"Sun Ha","non-dropping-particle":"","parse-names":false,"suffix":""},{"dropping-particle":"","family":"Jung","given":"Hee-Won","non-dropping-particle":"","parse-names":false,"suffix":""}],"container-title":"Acta Neurochirurgica","id":"ITEM-1","issue":"3","issued":{"date-parts":[["2013","3","17"]]},"page":"389-397","title":"The role of surgical resection in the management of brain metastasis: a 17-year longitudinal study","type":"article-journal","volume":"155"},"uris":["http://www.mendeley.com/documents/?uuid=e1079d32-6909-301c-8bc8-f14d16a661ef"]},{"id":"ITEM-2","itemData":{"ISSN":"1524-4040","PMID":"15854250","abstract":"OBJECTIVE Patients with brain metastases were analyzed retrospectively to assess the risks and benefits of surgery with modern neurosurgical techniques, including image guidance coupled as indicated with corticography. METHODS We retrospectively analyzed charts of patients treated surgically for brain metastases. We identified patients with single or multiple brain metastases who underwent craniotomies to reverse associated neurological symptoms or establish a diagnosis. We assessed patients according to recursive partitioning analysis (RPA) prognostic groups as well as functional grades of tumor location (eloquent versus noneloquent, Grades I-III). Perioperative complications, neurological outcomes after surgery, survival, and prognostic factors were analyzed. Statistical analysis of survival was performed with the Kaplan-Meier method. A P value of &lt;0.05 was considered statistically significant. RESULTS Two hundred eight patients were treated between March 1995 and December 2002. Patient age ranged from 31 to 82 years (median, 59 yr). One lesion was resected in 191 patients, and of 76 patients with multiple lesions, two or more metastases were resected in 17 patients. Tumors were located in eloquent cortex in 27 patients and near eloquent cortex in 124 patients. Four patients died within 30 days after surgery for a mortality rate of 1.9%. Neurological deterioration was noted in 13 patients (6%) after surgery for Grade I and II tumors and in 5 patients (19%) of 27 patients with Grade III tumors. Karnofsky Performance Scale scores were improved (68 patients) or unchanged (124 patients) in 192 patients and worse in 16 patients after surgery. The median survival time (MST) from the date of surgery was 8 months for all patients and 9 months for 163 patients who did not undergo prior whole-brain radiation therapy. There was no difference in survival between patients operated for single metastasis (MST, 8 mo) versus patients with two or three metastases (MST, 9 mo; P = 0.9364). By both univariate and multivariate analysis, variables significantly affecting outcome included a high Karnofsky Performance Scale score and RPA Class I assignment. By univariate analysis, significant treatment variables included postoperative radiotherapy and postoperative chemotherapy. The MSTs of RPA Class I, II, and III patients were 16.1 months, 7.2 months, and 1.4 months, respectively (P &lt; 0.001, log-rank test). These survival data compare favorably with the stereotactic radiosu…","author":[{"dropping-particle":"","family":"Paek","given":"Sun Ha","non-dropping-particle":"","parse-names":false,"suffix":""},{"dropping-particle":"","family":"Audu","given":"Paul B","non-dropping-particle":"","parse-names":false,"suffix":""},{"dropping-particle":"","family":"Sperling","given":"Michael R","non-dropping-particle":"","parse-names":false,"suffix":""},{"dropping-particle":"","family":"Cho","given":"Joon","non-dropping-particle":"","parse-names":false,"suffix":""},{"dropping-particle":"","family":"Andrews","given":"David W","non-dropping-particle":"","parse-names":false,"suffix":""}],"container-title":"Neurosurgery","id":"ITEM-2","issue":"5","issued":{"date-parts":[["2005","5"]]},"page":"1021-34; discussion 1021-34","title":"Reevaluation of surgery for the treatment of brain metastases: review of 208 patients with single or multiple brain metastases treated at one institution with modern neurosurgical techniques.","type":"article-journal","volume":"56"},"uris":["http://www.mendeley.com/documents/?uuid=5f07d2fc-17f8-39b3-a376-7f959f215100"]}],"mendeley":{"formattedCitation":"&lt;sup&gt;15,16&lt;/sup&gt;","plainTextFormattedCitation":"15,16","previouslyFormattedCitation":"&lt;sup&gt;15,16&lt;/sup&gt;"},"properties":{"noteIndex":0},"schema":"https://github.com/citation-style-language/schema/raw/master/csl-citation.json"}</w:instrText>
      </w:r>
      <w:r w:rsidR="00D14293">
        <w:rPr>
          <w:rFonts w:eastAsia="Times New Roman"/>
          <w:color w:val="000000"/>
          <w:lang w:val="de-AT" w:eastAsia="de-AT"/>
        </w:rPr>
        <w:fldChar w:fldCharType="separate"/>
      </w:r>
      <w:r w:rsidR="004B408B" w:rsidRPr="004B408B">
        <w:rPr>
          <w:rFonts w:eastAsia="Times New Roman"/>
          <w:noProof/>
          <w:color w:val="000000"/>
          <w:vertAlign w:val="superscript"/>
          <w:lang w:val="de-AT" w:eastAsia="de-AT"/>
        </w:rPr>
        <w:t>15,16</w:t>
      </w:r>
      <w:r w:rsidR="00D14293">
        <w:rPr>
          <w:rFonts w:eastAsia="Times New Roman"/>
          <w:color w:val="000000"/>
          <w:lang w:val="de-AT" w:eastAsia="de-AT"/>
        </w:rPr>
        <w:fldChar w:fldCharType="end"/>
      </w:r>
      <w:r w:rsidR="002D6BC8" w:rsidRPr="000F2811">
        <w:rPr>
          <w:rFonts w:eastAsia="Times New Roman"/>
          <w:color w:val="000000"/>
          <w:lang w:val="de-AT" w:eastAsia="de-AT"/>
        </w:rPr>
        <w:t xml:space="preserve"> </w:t>
      </w:r>
    </w:p>
    <w:p w14:paraId="6C6EFE81" w14:textId="59F2C6D1" w:rsidR="000F2811" w:rsidRPr="000F2811" w:rsidRDefault="0065532C" w:rsidP="000F2811">
      <w:pPr>
        <w:spacing w:line="360" w:lineRule="auto"/>
        <w:jc w:val="both"/>
        <w:rPr>
          <w:rFonts w:ascii="Arial" w:hAnsi="Arial" w:cs="Arial"/>
          <w:iCs/>
          <w:sz w:val="24"/>
          <w:szCs w:val="24"/>
        </w:rPr>
      </w:pPr>
      <w:r w:rsidRPr="000F2811">
        <w:rPr>
          <w:rFonts w:ascii="Arial" w:eastAsia="Times New Roman" w:hAnsi="Arial" w:cs="Arial"/>
          <w:color w:val="000000"/>
          <w:sz w:val="24"/>
          <w:szCs w:val="24"/>
          <w:lang w:val="de-AT" w:eastAsia="de-AT"/>
        </w:rPr>
        <w:t xml:space="preserve">Grundsätzlich gilt, dass </w:t>
      </w:r>
      <w:r w:rsidRPr="000F2811">
        <w:rPr>
          <w:rFonts w:ascii="Arial" w:hAnsi="Arial" w:cs="Arial"/>
          <w:sz w:val="24"/>
          <w:szCs w:val="24"/>
        </w:rPr>
        <w:t>auch nach OP-</w:t>
      </w:r>
      <w:r w:rsidR="00237910">
        <w:rPr>
          <w:rFonts w:ascii="Arial" w:hAnsi="Arial" w:cs="Arial"/>
          <w:sz w:val="24"/>
          <w:szCs w:val="24"/>
        </w:rPr>
        <w:t>m</w:t>
      </w:r>
      <w:r w:rsidRPr="000F2811">
        <w:rPr>
          <w:rFonts w:ascii="Arial" w:hAnsi="Arial" w:cs="Arial"/>
          <w:sz w:val="24"/>
          <w:szCs w:val="24"/>
        </w:rPr>
        <w:t>ikroskopischer Komplettresektion nach alleiniger OP bei etwa 60 % der Patienten ein Lokalrezidiv auftritt, eine adjuvante Strahlenbehandlung nach der Operation daher immer indiziert ist.</w:t>
      </w:r>
      <w:r w:rsidR="0042445A">
        <w:rPr>
          <w:rFonts w:ascii="Arial" w:hAnsi="Arial" w:cs="Arial"/>
          <w:sz w:val="24"/>
          <w:szCs w:val="24"/>
        </w:rPr>
        <w:fldChar w:fldCharType="begin" w:fldLock="1"/>
      </w:r>
      <w:r w:rsidR="0042445A">
        <w:rPr>
          <w:rFonts w:ascii="Arial" w:hAnsi="Arial" w:cs="Arial"/>
          <w:sz w:val="24"/>
          <w:szCs w:val="24"/>
        </w:rPr>
        <w:instrText>ADDIN CSL_CITATION {"citationItems":[{"id":"ITEM-1","itemData":{"DOI":"10.1200/JCO.2010.30.1655","ISSN":"1527-7755","PMID":"21041710","abstract":"PURPOSE This European Organisation for Research and Treatment of Cancer phase III trial assesses whether adjuvant whole-brain radiotherapy (WBRT) increases the duration of functional independence after surgery or radiosurgery of brain metastases. PATIENTS AND METHODS Patients with one to three brain metastases of solid tumors (small-cell lung cancer excluded) with stable systemic disease or asymptomatic primary tumors and WHO performance status (PS) of 0 to 2 were treated with complete surgery or radiosurgery and randomly assigned to adjuvant WBRT (30 Gy in 10 fractions) or observation (OBS). The primary end point was time to WHO PS deterioration to more than 2. RESULTS Of 359 patients, 199 underwent radiosurgery, and 160 underwent surgery. In the radiosurgery group, 100 patients were allocated to OBS, and 99 were allocated to WBRT. After surgery, 79 patients were allocated to OBS, and 81 were allocated to adjuvant WBRT. The median time to WHO PS more than 2 was 10.0 months (95% CI, 8.1 to 11.7 months) after OBS and 9.5 months (95% CI, 7.8 to 11.9 months) after WBRT (P = .71). Overall survival was similar in the WBRT and OBS arms (median, 10.9 v 10.7 months, respectively; P = .89). WBRT reduced the 2-year relapse rate both at initial sites (surgery: 59% to 27%, P &lt; .001; radiosurgery: 31% to 19%, P = .040) and at new sites (surgery: 42% to 23%, P = .008; radiosurgery: 48% to 33%, P = .023). Salvage therapies were used more frequently after OBS than after WBRT. Intracranial progression caused death in 78 (44%) of 179 patients in the OBS arm and in 50 (28%) of 180 patients in the WBRT arm. CONCLUSION After radiosurgery or surgery of a limited number of brain metastases, adjuvant WBRT reduces intracranial relapses and neurologic deaths but fails to improve the duration of functional independence and overall survival.","author":[{"dropping-particle":"","family":"Kocher","given":"Martin","non-dropping-particle":"","parse-names":false,"suffix":""},{"dropping-particle":"","family":"Soffietti","given":"Riccardo","non-dropping-particle":"","parse-names":false,"suffix":""},{"dropping-particle":"","family":"Abacioglu","given":"Ufuk","non-dropping-particle":"","parse-names":false,"suffix":""},{"dropping-particle":"","family":"Villà","given":"Salvador","non-dropping-particle":"","parse-names":false,"suffix":""},{"dropping-particle":"","family":"Fauchon","given":"Francois","non-dropping-particle":"","parse-names":false,"suffix":""},{"dropping-particle":"","family":"Baumert","given":"Brigitta G","non-dropping-particle":"","parse-names":false,"suffix":""},{"dropping-particle":"","family":"Fariselli","given":"Laura","non-dropping-particle":"","parse-names":false,"suffix":""},{"dropping-particle":"","family":"Tzuk-Shina","given":"Tzahala","non-dropping-particle":"","parse-names":false,"suffix":""},{"dropping-particle":"","family":"Kortmann","given":"Rolf-Dieter","non-dropping-particle":"","parse-names":false,"suffix":""},{"dropping-particle":"","family":"Carrie","given":"Christian","non-dropping-particle":"","parse-names":false,"suffix":""},{"dropping-particle":"","family":"Hassel","given":"Mohamed","non-dropping-particle":"Ben","parse-names":false,"suffix":""},{"dropping-particle":"","family":"Kouri","given":"Mauri","non-dropping-particle":"","parse-names":false,"suffix":""},{"dropping-particle":"","family":"Valeinis","given":"Egils","non-dropping-particle":"","parse-names":false,"suffix":""},{"dropping-particle":"","family":"Berge","given":"Dirk","non-dropping-particle":"van den","parse-names":false,"suffix":""},{"dropping-particle":"","family":"Collette","given":"Sandra","non-dropping-particle":"","parse-names":false,"suffix":""},{"dropping-particle":"","family":"Collette","given":"Laurence","non-dropping-particle":"","parse-names":false,"suffix":""},{"dropping-particle":"","family":"Mueller","given":"Rolf-Peter","non-dropping-particle":"","parse-names":false,"suffix":""}],"container-title":"Journal of clinical oncology : official journal of the American Society of Clinical Oncology","id":"ITEM-1","issue":"2","issued":{"date-parts":[["2011","1","10"]]},"page":"134-41","title":"Adjuvant whole-brain radiotherapy versus observation after radiosurgery or surgical resection of one to three cerebral metastases: results of the EORTC 22952-26001 study.","type":"article-journal","volume":"29"},"uris":["http://www.mendeley.com/documents/?uuid=291453a3-c2cb-3ffe-8cf9-1df6e56f5527"]}],"mendeley":{"formattedCitation":"&lt;sup&gt;17&lt;/sup&gt;","plainTextFormattedCitation":"17","previouslyFormattedCitation":"&lt;sup&gt;17&lt;/sup&gt;"},"properties":{"noteIndex":0},"schema":"https://github.com/citation-style-language/schema/raw/master/csl-citation.json"}</w:instrText>
      </w:r>
      <w:r w:rsidR="0042445A">
        <w:rPr>
          <w:rFonts w:ascii="Arial" w:hAnsi="Arial" w:cs="Arial"/>
          <w:sz w:val="24"/>
          <w:szCs w:val="24"/>
        </w:rPr>
        <w:fldChar w:fldCharType="separate"/>
      </w:r>
      <w:r w:rsidR="0042445A" w:rsidRPr="0042445A">
        <w:rPr>
          <w:rFonts w:ascii="Arial" w:hAnsi="Arial" w:cs="Arial"/>
          <w:noProof/>
          <w:sz w:val="24"/>
          <w:szCs w:val="24"/>
          <w:vertAlign w:val="superscript"/>
        </w:rPr>
        <w:t>17</w:t>
      </w:r>
      <w:r w:rsidR="0042445A">
        <w:rPr>
          <w:rFonts w:ascii="Arial" w:hAnsi="Arial" w:cs="Arial"/>
          <w:sz w:val="24"/>
          <w:szCs w:val="24"/>
        </w:rPr>
        <w:fldChar w:fldCharType="end"/>
      </w:r>
      <w:r w:rsidR="0042445A" w:rsidDel="0042445A">
        <w:rPr>
          <w:rFonts w:ascii="Arial" w:hAnsi="Arial" w:cs="Arial"/>
          <w:sz w:val="24"/>
          <w:szCs w:val="24"/>
        </w:rPr>
        <w:t xml:space="preserve"> </w:t>
      </w:r>
      <w:r w:rsidR="000F2811" w:rsidRPr="000F2811">
        <w:rPr>
          <w:rFonts w:ascii="Arial" w:hAnsi="Arial" w:cs="Arial"/>
          <w:iCs/>
          <w:sz w:val="24"/>
          <w:szCs w:val="24"/>
        </w:rPr>
        <w:t xml:space="preserve"> Für den Stellenwert der Resektion bei Rezidivmetastasen oder symptomatischen Strahlennekrosen existieren derzeit keine validen Daten. </w:t>
      </w:r>
    </w:p>
    <w:p w14:paraId="36F34521" w14:textId="5C481E30" w:rsidR="002D6BC8" w:rsidRPr="000F2811" w:rsidRDefault="002D6BC8"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p>
    <w:p w14:paraId="7FD281F2" w14:textId="77777777" w:rsidR="0065532C" w:rsidRPr="000F2811" w:rsidRDefault="0065532C">
      <w:pPr>
        <w:spacing w:after="160" w:line="259" w:lineRule="auto"/>
        <w:rPr>
          <w:rFonts w:ascii="Arial" w:eastAsia="Times New Roman" w:hAnsi="Arial" w:cs="Arial"/>
          <w:b/>
          <w:color w:val="000000"/>
          <w:sz w:val="24"/>
          <w:szCs w:val="24"/>
          <w:lang w:val="de-AT" w:eastAsia="de-AT"/>
        </w:rPr>
      </w:pPr>
      <w:r w:rsidRPr="000F2811">
        <w:rPr>
          <w:rFonts w:ascii="Arial" w:eastAsia="Times New Roman" w:hAnsi="Arial" w:cs="Arial"/>
          <w:b/>
          <w:color w:val="000000"/>
          <w:sz w:val="24"/>
          <w:szCs w:val="24"/>
          <w:lang w:val="de-AT" w:eastAsia="de-AT"/>
        </w:rPr>
        <w:br w:type="page"/>
      </w:r>
    </w:p>
    <w:p w14:paraId="7E34338D" w14:textId="68EB96F1" w:rsidR="00205305" w:rsidRPr="000F2811" w:rsidRDefault="00205305"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b/>
          <w:color w:val="000000"/>
          <w:lang w:val="de-AT" w:eastAsia="de-AT"/>
        </w:rPr>
      </w:pPr>
      <w:r w:rsidRPr="000F2811">
        <w:rPr>
          <w:rFonts w:eastAsia="Times New Roman"/>
          <w:b/>
          <w:color w:val="000000"/>
          <w:lang w:val="de-AT" w:eastAsia="de-AT"/>
        </w:rPr>
        <w:lastRenderedPageBreak/>
        <w:t xml:space="preserve">Radiotherapie </w:t>
      </w:r>
      <w:r w:rsidR="00A43432">
        <w:rPr>
          <w:rFonts w:eastAsia="Times New Roman"/>
          <w:b/>
          <w:color w:val="000000"/>
          <w:lang w:val="de-AT" w:eastAsia="de-AT"/>
        </w:rPr>
        <w:t>und</w:t>
      </w:r>
      <w:r w:rsidR="00A43432" w:rsidRPr="000F2811">
        <w:rPr>
          <w:rFonts w:eastAsia="Times New Roman"/>
          <w:b/>
          <w:color w:val="000000"/>
          <w:lang w:val="de-AT" w:eastAsia="de-AT"/>
        </w:rPr>
        <w:t xml:space="preserve"> </w:t>
      </w:r>
      <w:r w:rsidRPr="000F2811">
        <w:rPr>
          <w:rFonts w:eastAsia="Times New Roman"/>
          <w:b/>
          <w:color w:val="000000"/>
          <w:lang w:val="de-AT" w:eastAsia="de-AT"/>
        </w:rPr>
        <w:t>Radiochirurgie:</w:t>
      </w:r>
    </w:p>
    <w:p w14:paraId="3DD3B738" w14:textId="49D0102F" w:rsidR="004123AC" w:rsidRPr="000F2811" w:rsidRDefault="004123AC" w:rsidP="002D6BC8">
      <w:pPr>
        <w:spacing w:line="360" w:lineRule="auto"/>
        <w:jc w:val="both"/>
        <w:rPr>
          <w:rFonts w:ascii="Arial" w:hAnsi="Arial" w:cs="Arial"/>
          <w:sz w:val="24"/>
          <w:szCs w:val="24"/>
        </w:rPr>
      </w:pPr>
      <w:r w:rsidRPr="000F2811">
        <w:rPr>
          <w:rFonts w:ascii="Arial" w:hAnsi="Arial" w:cs="Arial"/>
          <w:sz w:val="24"/>
          <w:szCs w:val="24"/>
        </w:rPr>
        <w:t>Aus strahlentherapeutischer Sicht liegen verschiedene Therapieoptionen vor</w:t>
      </w:r>
      <w:r w:rsidR="002D6BC8" w:rsidRPr="000F2811">
        <w:rPr>
          <w:rFonts w:ascii="Arial" w:hAnsi="Arial" w:cs="Arial"/>
          <w:sz w:val="24"/>
          <w:szCs w:val="24"/>
        </w:rPr>
        <w:t xml:space="preserve">, </w:t>
      </w:r>
      <w:r w:rsidRPr="000F2811">
        <w:rPr>
          <w:rFonts w:ascii="Arial" w:hAnsi="Arial" w:cs="Arial"/>
          <w:sz w:val="24"/>
          <w:szCs w:val="24"/>
        </w:rPr>
        <w:t>die stereotaktische Radiochirurgie (SRS)</w:t>
      </w:r>
      <w:r w:rsidR="002D6BC8" w:rsidRPr="000F2811">
        <w:rPr>
          <w:rFonts w:ascii="Arial" w:hAnsi="Arial" w:cs="Arial"/>
          <w:sz w:val="24"/>
          <w:szCs w:val="24"/>
        </w:rPr>
        <w:t xml:space="preserve">, </w:t>
      </w:r>
      <w:r w:rsidRPr="000F2811">
        <w:rPr>
          <w:rFonts w:ascii="Arial" w:hAnsi="Arial" w:cs="Arial"/>
          <w:sz w:val="24"/>
          <w:szCs w:val="24"/>
        </w:rPr>
        <w:t>die adjuvante Tumorbettbestrahlung</w:t>
      </w:r>
      <w:r w:rsidR="002D6BC8" w:rsidRPr="000F2811">
        <w:rPr>
          <w:rFonts w:ascii="Arial" w:hAnsi="Arial" w:cs="Arial"/>
          <w:sz w:val="24"/>
          <w:szCs w:val="24"/>
        </w:rPr>
        <w:t xml:space="preserve"> sowie die </w:t>
      </w:r>
      <w:r w:rsidRPr="000F2811">
        <w:rPr>
          <w:rFonts w:ascii="Arial" w:hAnsi="Arial" w:cs="Arial"/>
          <w:sz w:val="24"/>
          <w:szCs w:val="24"/>
        </w:rPr>
        <w:t>Ganzhirnbestrahlung</w:t>
      </w:r>
      <w:r w:rsidR="002D6BC8" w:rsidRPr="000F2811">
        <w:rPr>
          <w:rFonts w:ascii="Arial" w:hAnsi="Arial" w:cs="Arial"/>
          <w:sz w:val="24"/>
          <w:szCs w:val="24"/>
        </w:rPr>
        <w:t xml:space="preserve"> (WBRT)</w:t>
      </w:r>
      <w:r w:rsidRPr="000F2811">
        <w:rPr>
          <w:rFonts w:ascii="Arial" w:hAnsi="Arial" w:cs="Arial"/>
          <w:sz w:val="24"/>
          <w:szCs w:val="24"/>
        </w:rPr>
        <w:t xml:space="preserve">. </w:t>
      </w:r>
    </w:p>
    <w:p w14:paraId="3D2712D3" w14:textId="77777777" w:rsidR="000F2811" w:rsidRDefault="000F2811" w:rsidP="002D6BC8">
      <w:pPr>
        <w:spacing w:line="360" w:lineRule="auto"/>
        <w:jc w:val="both"/>
        <w:rPr>
          <w:rFonts w:ascii="Arial" w:hAnsi="Arial" w:cs="Arial"/>
          <w:i/>
          <w:sz w:val="24"/>
          <w:szCs w:val="24"/>
        </w:rPr>
      </w:pPr>
    </w:p>
    <w:p w14:paraId="3B33DA44" w14:textId="09E54F7D" w:rsidR="004123AC" w:rsidRPr="000F2811" w:rsidRDefault="004123AC" w:rsidP="002D6BC8">
      <w:pPr>
        <w:spacing w:line="360" w:lineRule="auto"/>
        <w:jc w:val="both"/>
        <w:rPr>
          <w:rFonts w:ascii="Arial" w:hAnsi="Arial" w:cs="Arial"/>
          <w:i/>
          <w:sz w:val="24"/>
          <w:szCs w:val="24"/>
        </w:rPr>
      </w:pPr>
      <w:r w:rsidRPr="000F2811">
        <w:rPr>
          <w:rFonts w:ascii="Arial" w:hAnsi="Arial" w:cs="Arial"/>
          <w:i/>
          <w:sz w:val="24"/>
          <w:szCs w:val="24"/>
        </w:rPr>
        <w:t>Radiochirurgie</w:t>
      </w:r>
    </w:p>
    <w:p w14:paraId="4F4937E5" w14:textId="36810C34" w:rsidR="004123AC" w:rsidRPr="000F2811" w:rsidRDefault="004123AC" w:rsidP="002D6BC8">
      <w:pPr>
        <w:spacing w:line="360" w:lineRule="auto"/>
        <w:jc w:val="both"/>
        <w:rPr>
          <w:rFonts w:ascii="Arial" w:hAnsi="Arial" w:cs="Arial"/>
          <w:sz w:val="24"/>
          <w:szCs w:val="24"/>
        </w:rPr>
      </w:pPr>
      <w:r w:rsidRPr="000F2811">
        <w:rPr>
          <w:rFonts w:ascii="Arial" w:hAnsi="Arial" w:cs="Arial"/>
          <w:sz w:val="24"/>
          <w:szCs w:val="24"/>
        </w:rPr>
        <w:t>Die Radiochirurgie ist ein Hochpräzisionsbestrahlungsverfahren, das bereits seit mehreren Jahrzehnten zur Behandlung von Hirnmetastasen angewandt wird.</w:t>
      </w:r>
      <w:r w:rsidR="00D14293">
        <w:rPr>
          <w:rFonts w:ascii="Arial" w:hAnsi="Arial" w:cs="Arial"/>
          <w:sz w:val="24"/>
          <w:szCs w:val="24"/>
        </w:rPr>
        <w:fldChar w:fldCharType="begin" w:fldLock="1"/>
      </w:r>
      <w:r w:rsidR="0042445A">
        <w:rPr>
          <w:rFonts w:ascii="Arial" w:hAnsi="Arial" w:cs="Arial"/>
          <w:sz w:val="24"/>
          <w:szCs w:val="24"/>
        </w:rPr>
        <w:instrText>ADDIN CSL_CITATION {"citationItems":[{"id":"ITEM-1","itemData":{"DOI":"10.1016/0360-3016(87)90140-4","ISSN":"03603016","PMID":"3102416","abstract":"The effectivity of stereotactic percutaneous single dose irradiations in the treatment of solitary brain metastases has been assessed in a series of 12 consecutive patients. Only radioresistant deeply localized metastases have been treated. Photon-irradiation was carried out with the convergent beam technique using stereotactic localization methods, in a linear accelerator facility. In 11 of the 12 patients no side effects occurred. The first 7 patients, who could be observed 3 months or longer, have been studied in detail. In each of these cases single dose irradiation with 20-30 Gy yielded arrest of tumor growth. In one case a marked decrease in contrast enhancement and in four cases shrinkage of the metastasis as well as a marked decrease of the edema occurred. In every patient a marked, sometimes dramatic improvement of the clinical condition was achieved, beginning a few days after irradiation. Stereotactic radiosurgery is a valuable tool in the treatment of inoperable, radioresistant brain metastases, the major adbantage being high efficacy and smoothness of the procedure, as well as extremely short hospitalization times (2-3 days). © 1987.","author":[{"dropping-particle":"","family":"Sturm","given":"Volker","non-dropping-particle":"","parse-names":false,"suffix":""},{"dropping-particle":"","family":"Kober","given":"Bernd","non-dropping-particle":"","parse-names":false,"suffix":""},{"dropping-particle":"","family":"Hover","given":"Karl Heinz","non-dropping-particle":"","parse-names":false,"suffix":""},{"dropping-particle":"","family":"Schlegel","given":"Wolfgang","non-dropping-particle":"","parse-names":false,"suffix":""},{"dropping-particle":"","family":"Boesecke","given":"Robert","non-dropping-particle":"","parse-names":false,"suffix":""},{"dropping-particle":"","family":"Pastyr","given":"Otto","non-dropping-particle":"","parse-names":false,"suffix":""},{"dropping-particle":"","family":"Hartmann","given":"Günther H.","non-dropping-particle":"","parse-names":false,"suffix":""},{"dropping-particle":"","family":"Schabbert","given":"Sigrid","non-dropping-particle":"","parse-names":false,"suffix":""},{"dropping-particle":"","family":"Karl zum","given":"Karl zum Winkel","non-dropping-particle":"","parse-names":false,"suffix":""},{"dropping-particle":"","family":"Kunze","given":"Stefan","non-dropping-particle":"","parse-names":false,"suffix":""},{"dropping-particle":"","family":"Lorenz","given":"Walter J.","non-dropping-particle":"","parse-names":false,"suffix":""}],"container-title":"International Journal of Radiation Oncology, Biology, Physics","id":"ITEM-1","issue":"2","issued":{"date-parts":[["1987"]]},"page":"279-282","title":"Stereotactic percutaneous single dose irradiation of brain metastases with a linear accelerator","type":"article-journal","volume":"13"},"uris":["http://www.mendeley.com/documents/?uuid=0000e10d-5605-3c3f-b38c-fa32c07ab3de"]}],"mendeley":{"formattedCitation":"&lt;sup&gt;18&lt;/sup&gt;","plainTextFormattedCitation":"18","previouslyFormattedCitation":"&lt;sup&gt;18&lt;/sup&gt;"},"properties":{"noteIndex":0},"schema":"https://github.com/citation-style-language/schema/raw/master/csl-citation.json"}</w:instrText>
      </w:r>
      <w:r w:rsidR="00D14293">
        <w:rPr>
          <w:rFonts w:ascii="Arial" w:hAnsi="Arial" w:cs="Arial"/>
          <w:sz w:val="24"/>
          <w:szCs w:val="24"/>
        </w:rPr>
        <w:fldChar w:fldCharType="separate"/>
      </w:r>
      <w:r w:rsidR="0042445A" w:rsidRPr="0042445A">
        <w:rPr>
          <w:rFonts w:ascii="Arial" w:hAnsi="Arial" w:cs="Arial"/>
          <w:noProof/>
          <w:sz w:val="24"/>
          <w:szCs w:val="24"/>
          <w:vertAlign w:val="superscript"/>
        </w:rPr>
        <w:t>18</w:t>
      </w:r>
      <w:r w:rsidR="00D14293">
        <w:rPr>
          <w:rFonts w:ascii="Arial" w:hAnsi="Arial" w:cs="Arial"/>
          <w:sz w:val="24"/>
          <w:szCs w:val="24"/>
        </w:rPr>
        <w:fldChar w:fldCharType="end"/>
      </w:r>
      <w:r w:rsidRPr="000F2811">
        <w:rPr>
          <w:rFonts w:ascii="Arial" w:hAnsi="Arial" w:cs="Arial"/>
          <w:sz w:val="24"/>
          <w:szCs w:val="24"/>
        </w:rPr>
        <w:t xml:space="preserve"> Das Prinzip </w:t>
      </w:r>
      <w:r w:rsidR="0065532C" w:rsidRPr="000F2811">
        <w:rPr>
          <w:rFonts w:ascii="Arial" w:hAnsi="Arial" w:cs="Arial"/>
          <w:sz w:val="24"/>
          <w:szCs w:val="24"/>
        </w:rPr>
        <w:t xml:space="preserve">hierbei </w:t>
      </w:r>
      <w:r w:rsidRPr="000F2811">
        <w:rPr>
          <w:rFonts w:ascii="Arial" w:hAnsi="Arial" w:cs="Arial"/>
          <w:sz w:val="24"/>
          <w:szCs w:val="24"/>
        </w:rPr>
        <w:t xml:space="preserve">ist die Fokussierung gebündelter Strahlen, die aus verschiedenen Richtungen kommend, sich millimetergenau auf der Oberfläche eines Zielvolumens vereinigen. Im Gegensatz zur normo-fraktionierten perkutanen Radiatio wird bei der Radiochirurgie die Bestrahlung bei Zielvolumina ≤ 3 cm bzw.≤ 14 ml in einer einzigen Sitzung appliziert. Um diese hohe Präzision zu erreichen muss das Zielvolumen entweder durch eine invasive Kopffixierung „fixiert“ werden, wie dies z.B. beim Gammaknife und modifizierten Linearbeschleunigern (LINAC) erforderlich </w:t>
      </w:r>
      <w:r w:rsidR="0065532C" w:rsidRPr="000F2811">
        <w:rPr>
          <w:rFonts w:ascii="Arial" w:hAnsi="Arial" w:cs="Arial"/>
          <w:sz w:val="24"/>
          <w:szCs w:val="24"/>
        </w:rPr>
        <w:t>ist</w:t>
      </w:r>
      <w:r w:rsidRPr="000F2811">
        <w:rPr>
          <w:rFonts w:ascii="Arial" w:hAnsi="Arial" w:cs="Arial"/>
          <w:sz w:val="24"/>
          <w:szCs w:val="24"/>
        </w:rPr>
        <w:t xml:space="preserve">. Alternativ kann die Strahlenquelle das Zielvolumen bildgebend während der Bestrahlung erfassen und Bewegungen dessen bis zu einem gewissen Grad verfolgen (Robotik gesteuerte Radiochirurgie z.B. mittels Cyberknife). </w:t>
      </w:r>
    </w:p>
    <w:p w14:paraId="46F23A30" w14:textId="513BF0BE" w:rsidR="004123AC" w:rsidRPr="000F2811" w:rsidRDefault="004123AC" w:rsidP="002D6BC8">
      <w:pPr>
        <w:spacing w:line="360" w:lineRule="auto"/>
        <w:jc w:val="both"/>
        <w:rPr>
          <w:rFonts w:ascii="Arial" w:hAnsi="Arial" w:cs="Arial"/>
          <w:sz w:val="24"/>
          <w:szCs w:val="24"/>
        </w:rPr>
      </w:pPr>
      <w:r w:rsidRPr="000F2811">
        <w:rPr>
          <w:rFonts w:ascii="Arial" w:hAnsi="Arial" w:cs="Arial"/>
          <w:sz w:val="24"/>
          <w:szCs w:val="24"/>
        </w:rPr>
        <w:t>Mittlerweile hat sich das Einsatz der Radiochirurgie bei der Beha</w:t>
      </w:r>
      <w:r w:rsidR="0065532C" w:rsidRPr="000F2811">
        <w:rPr>
          <w:rFonts w:ascii="Arial" w:hAnsi="Arial" w:cs="Arial"/>
          <w:sz w:val="24"/>
          <w:szCs w:val="24"/>
        </w:rPr>
        <w:t>ndlung von Hirnmetastasen von einer bis</w:t>
      </w:r>
      <w:r w:rsidRPr="000F2811">
        <w:rPr>
          <w:rFonts w:ascii="Arial" w:hAnsi="Arial" w:cs="Arial"/>
          <w:sz w:val="24"/>
          <w:szCs w:val="24"/>
        </w:rPr>
        <w:t xml:space="preserve"> max. </w:t>
      </w:r>
      <w:r w:rsidR="0065532C" w:rsidRPr="000F2811">
        <w:rPr>
          <w:rFonts w:ascii="Arial" w:hAnsi="Arial" w:cs="Arial"/>
          <w:sz w:val="24"/>
          <w:szCs w:val="24"/>
        </w:rPr>
        <w:t>drei Tumoren</w:t>
      </w:r>
      <w:r w:rsidRPr="000F2811">
        <w:rPr>
          <w:rFonts w:ascii="Arial" w:hAnsi="Arial" w:cs="Arial"/>
          <w:sz w:val="24"/>
          <w:szCs w:val="24"/>
        </w:rPr>
        <w:t xml:space="preserve"> mit einer Größe von ≤ 3 cm deutlich erweitert: sowohl Anzahl als auch Größe zu behandelnder Metastasen werden interdisziplinär unter Abwägung aller therapeutischen Möglichkeiten zugeschnitten auf den individuellen Zustand des Patienten, der Prognose und des Wunsches des Patienten bestimmt. Auch Konzepte wie die radiochirurgische Behandlung des Tumorbettes nach mikrochirurgischer Resektion oder die präoperative radiochirurgische Behandlung, in der eine große Metastase vorab bestrahlt wird und dann innerhalb der nächsten Tage mikrochirurgisch entfernt wird, werden derzeit in prospektiven Studien immer mit dem Ziel einer möglichst schonenden und effektiven Behandlung untersucht.</w:t>
      </w:r>
      <w:r w:rsidR="00D14293">
        <w:rPr>
          <w:rFonts w:ascii="Arial" w:hAnsi="Arial" w:cs="Arial"/>
          <w:sz w:val="24"/>
          <w:szCs w:val="24"/>
        </w:rPr>
        <w:fldChar w:fldCharType="begin" w:fldLock="1"/>
      </w:r>
      <w:r w:rsidR="0042445A">
        <w:rPr>
          <w:rFonts w:ascii="Arial" w:hAnsi="Arial" w:cs="Arial"/>
          <w:sz w:val="24"/>
          <w:szCs w:val="24"/>
        </w:rPr>
        <w:instrText>ADDIN CSL_CITATION {"citationItems":[{"id":"ITEM-1","itemData":{"DOI":"10.1016/j.ijrobp.2018.10.038","ISSN":"1879355X","PMID":"30395902","abstract":"Purpose: Multifraction (MF) stereotactic radiosurgery (SRS) purportedly reduces radionecrosis risk over single-fraction (SF) SRS in the treatment of large brain metastases. The purpose of the current work is to compare local control (LC) and radionecrosis rates of SF-SRS and MF-SRS in the definitive (SF-SRSD and MF-SRSD) and postoperative (SF-SRSP and MF-SRSP) settings. Methods and Materials: Population, Intervention, Control, Outcomes, Study Design/Preferred Reporting Items for Systematic Reviews and Meta-analyses and Meta-analysis of Observational Studies in Epidemiology guidelines were used to select articles in which patients had “large” brain metastases (Group A: 4-14 cm3, or about 2-3 cm in diameter; Group B: &gt;14 cm3, or about &gt;3 cm in diameter); 1-year LC and/or rates of radionecrosis were reported; radiosurgery was administered definitively or postoperatively. Random effects meta-analyses using fractionation scheme and size as covariates were conducted. Meta-regression and Wald-type tests were used to determine the effect of increasing tumor size and fractionation on the summary estimate, where the null hypothesis was rejected for P &lt;.05. Results: Twenty-four studies were included, published between 2008 and 2017, with 1887 brain metastases. LC random effects estimate at 1 year was 77.6% for Group A/SF-SRSD and 92.9% for Group A/MF-SRSD (P =.18). LC random effects estimate at 1 year was 77.1% for Group B/SF-SRSD and 79.2% for Group B/MF-SRSD (P =.76). LC random effects estimate at 1 year was 62.4% for Group B/SF-SRSP and 85.7% for Group B/MF-SRSP (P =.13). Radionecrosis incidence random effects estimate was 23.1% for Group A/SF-SRSD and 7.3% for Group A/MF-SRSD (P =.003). Radionecrosis incidence random effects estimate was 11.7% for Group B/SF-SRSD and 6.5% for Group B/MF-SRSD (P =.29). Radionecrosis incidence random effects estimate was 7.3% for Group B/SF-SRSP and 7.5% for Group B/MF-SRSP (P =.85). Metaregression assessing 1-year LC and radionecrosis as a continuous function of increasing tumor volume was not statistically significant. Conclusions: Treatment for large brain metastases with MF-SRS regimens may offer a relative reduction of radionecrosis while maintaining or improving relative rates of 1-year LC compared with SF-SRS. These findings are hypothesis-generating and require validation by ongoing and planned prospective clinical trials.","author":[{"dropping-particle":"","family":"Lehrer","given":"Eric J.","non-dropping-particle":"","parse-names":false,"suffix":""},{"dropping-particle":"","family":"Peterson","given":"Jennifer L.","non-dropping-particle":"","parse-names":false,"suffix":""},{"dropping-particle":"","family":"Zaorsky","given":"Nicholas G.","non-dropping-particle":"","parse-names":false,"suffix":""},{"dropping-particle":"","family":"Brown","given":"Paul D.","non-dropping-particle":"","parse-names":false,"suffix":""},{"dropping-particle":"","family":"Sahgal","given":"Arjun","non-dropping-particle":"","parse-names":false,"suffix":""},{"dropping-particle":"","family":"Chiang","given":"Veronica L.","non-dropping-particle":"","parse-names":false,"suffix":""},{"dropping-particle":"","family":"Chao","given":"Samuel T.","non-dropping-particle":"","parse-names":false,"suffix":""},{"dropping-particle":"","family":"Sheehan","given":"Jason P.","non-dropping-particle":"","parse-names":false,"suffix":""},{"dropping-particle":"","family":"Trifiletti","given":"Daniel M.","non-dropping-particle":"","parse-names":false,"suffix":""}],"container-title":"International Journal of Radiation Oncology Biology Physics","id":"ITEM-1","issue":"3","issued":{"date-parts":[["2019","3","1"]]},"page":"618-630","publisher":"Elsevier Inc.","title":"Single versus Multifraction Stereotactic Radiosurgery for Large Brain Metastases: An International Meta-analysis of 24 Trials","type":"article-journal","volume":"103"},"uris":["http://www.mendeley.com/documents/?uuid=98783c5e-a3e0-3f5b-9077-5712d7ea8649"]},{"id":"ITEM-2","itemData":{"DOI":"10.3171/2018.7.JNS181293","ISSN":"1933-0693","PMID":"30554174","abstract":"OBJECTIVEPreoperative stereotactic radiosurgery (SRS) is a feasible alternative to postoperative SRS and may lower the risk of radiation necrosis (RN) and leptomeningeal disease (LMD) recurrence. The study goal was to report the efficacy and toxicity of preoperative SRS in an expanded patient cohort with longer follow-up period relative to prior reports.METHODSThe records for patients with brain metastases treated with preoperative SRS and planned resection were reviewed. Patients with classically radiosensitive tumors, planned adjuvant whole brain radiotherapy, or no cranial imaging at least 1 month after surgery were excluded. Preoperative SRS dose was based on lesion size and was reduced approximately 10-20% from standard dosing. Surgery generally followed within 48 hours.RESULTSThe study cohort consisted of 117 patients with 125 lesions treated with single-fraction preoperative SRS and planned resection. Of the 117 patients, 24 patients were enrolled in an initial prospective trial; the remaining 93 cases were consecutively treated patients who were retrospectively reviewed. Most patients had a single brain metastasis (70.1%); 42.7% had non-small cell lung cancer, 18.8% had breast cancer, 15.4% had melanoma, and 11.1% had renal cell carcinoma. Gross total resection was performed in 95.2% of lesions. The median time from SRS to surgery was 2 days, the median SRS dose was 15 Gy, and the median gross tumor volume was 8.3 cm3. Event cumulative incidence at 2 years was as follows: cavity local recurrence (LR), 25.1%; distant brain failure, 60.2%; LMD, 4.3%; and symptomatic RN, 4.8%. The median overall survival (OS) and 2-year OS rate were 17.2 months and 36.7%, respectively. Subtotal resection (STR, n = 6) was significantly associated with increased risk of cavity LR (hazard ratio [HR] 6.67, p = 0.008) and worsened OS (HR 2.63, p = 0.05) in multivariable analyses.CONCLUSIONSThis expanded and updated analysis confirms that single-fraction preoperative SRS confers excellent cavity local control with very low risk of RN or LMD. Preoperative SRS has several potential advantages compared to postoperative SRS, including reduced risk of RN due to smaller irradiated volume without need for cavity margin expansion and reduced risk of LMD due to sterilization of tumor cells prior to spillage at the time of surgery. Subtotal resection, though infrequent, is associated with significantly worse cavity LR and OS. Based on these results, a randomized trial of preoperat…","author":[{"dropping-particle":"","family":"Prabhu","given":"Roshan S","non-dropping-particle":"","parse-names":false,"suffix":""},{"dropping-particle":"","family":"Miller","given":"Katherine R","non-dropping-particle":"","parse-names":false,"suffix":""},{"dropping-particle":"","family":"Asher","given":"Anthony L","non-dropping-particle":"","parse-names":false,"suffix":""},{"dropping-particle":"","family":"Heinzerling","given":"John H","non-dropping-particle":"","parse-names":false,"suffix":""},{"dropping-particle":"","family":"Moeller","given":"Benjamin J","non-dropping-particle":"","parse-names":false,"suffix":""},{"dropping-particle":"","family":"Lankford","given":"Scott P","non-dropping-particle":"","parse-names":false,"suffix":""},{"dropping-particle":"","family":"McCammon","given":"Robert J","non-dropping-particle":"","parse-names":false,"suffix":""},{"dropping-particle":"","family":"Fasola","given":"Carolina E","non-dropping-particle":"","parse-names":false,"suffix":""},{"dropping-particle":"","family":"Patel","given":"Kirtesh R","non-dropping-particle":"","parse-names":false,"suffix":""},{"dropping-particle":"","family":"Press","given":"Robert H","non-dropping-particle":"","parse-names":false,"suffix":""},{"dropping-particle":"","family":"Sumrall","given":"Ashley L","non-dropping-particle":"","parse-names":false,"suffix":""},{"dropping-particle":"","family":"Ward","given":"Matthew C","non-dropping-particle":"","parse-names":false,"suffix":""},{"dropping-particle":"","family":"Burri","given":"Stuart H","non-dropping-particle":"","parse-names":false,"suffix":""}],"container-title":"Journal of neurosurgery","id":"ITEM-2","issue":"5","issued":{"date-parts":[["2018","12","1"]]},"page":"1-8","publisher":"American Association of Neurological Surgeons","title":"Preoperative stereotactic radiosurgery before planned resection of brain metastases: updated analysis of efficacy and toxicity of a novel treatment paradigm.","type":"article-journal","volume":"131"},"uris":["http://www.mendeley.com/documents/?uuid=6f36211e-7465-3a35-8886-c142744c84e9"]}],"mendeley":{"formattedCitation":"&lt;sup&gt;19,20&lt;/sup&gt;","plainTextFormattedCitation":"19,20","previouslyFormattedCitation":"&lt;sup&gt;19,20&lt;/sup&gt;"},"properties":{"noteIndex":0},"schema":"https://github.com/citation-style-language/schema/raw/master/csl-citation.json"}</w:instrText>
      </w:r>
      <w:r w:rsidR="00D14293">
        <w:rPr>
          <w:rFonts w:ascii="Arial" w:hAnsi="Arial" w:cs="Arial"/>
          <w:sz w:val="24"/>
          <w:szCs w:val="24"/>
        </w:rPr>
        <w:fldChar w:fldCharType="separate"/>
      </w:r>
      <w:r w:rsidR="0042445A" w:rsidRPr="0042445A">
        <w:rPr>
          <w:rFonts w:ascii="Arial" w:hAnsi="Arial" w:cs="Arial"/>
          <w:noProof/>
          <w:sz w:val="24"/>
          <w:szCs w:val="24"/>
          <w:vertAlign w:val="superscript"/>
        </w:rPr>
        <w:t>19,20</w:t>
      </w:r>
      <w:r w:rsidR="00D14293">
        <w:rPr>
          <w:rFonts w:ascii="Arial" w:hAnsi="Arial" w:cs="Arial"/>
          <w:sz w:val="24"/>
          <w:szCs w:val="24"/>
        </w:rPr>
        <w:fldChar w:fldCharType="end"/>
      </w:r>
      <w:r w:rsidR="00D14293" w:rsidRPr="000F2811">
        <w:rPr>
          <w:rFonts w:ascii="Arial" w:hAnsi="Arial" w:cs="Arial"/>
          <w:sz w:val="24"/>
          <w:szCs w:val="24"/>
        </w:rPr>
        <w:t xml:space="preserve"> </w:t>
      </w:r>
    </w:p>
    <w:p w14:paraId="37FD95BF" w14:textId="77777777" w:rsidR="004123AC" w:rsidRPr="000F2811" w:rsidRDefault="004123AC" w:rsidP="002D6BC8">
      <w:pPr>
        <w:spacing w:line="360" w:lineRule="auto"/>
        <w:jc w:val="both"/>
        <w:rPr>
          <w:rFonts w:ascii="Arial" w:hAnsi="Arial" w:cs="Arial"/>
          <w:sz w:val="24"/>
          <w:szCs w:val="24"/>
        </w:rPr>
      </w:pPr>
    </w:p>
    <w:p w14:paraId="1666804E" w14:textId="77777777" w:rsidR="004123AC" w:rsidRPr="000F2811" w:rsidRDefault="004123AC" w:rsidP="002D6BC8">
      <w:pPr>
        <w:spacing w:line="360" w:lineRule="auto"/>
        <w:jc w:val="both"/>
        <w:rPr>
          <w:rFonts w:ascii="Arial" w:hAnsi="Arial" w:cs="Arial"/>
          <w:i/>
          <w:sz w:val="24"/>
          <w:szCs w:val="24"/>
        </w:rPr>
      </w:pPr>
      <w:r w:rsidRPr="000F2811">
        <w:rPr>
          <w:rFonts w:ascii="Arial" w:hAnsi="Arial" w:cs="Arial"/>
          <w:i/>
          <w:sz w:val="24"/>
          <w:szCs w:val="24"/>
        </w:rPr>
        <w:t>Adjuvante Strahlentherapie des Tumorbetts</w:t>
      </w:r>
    </w:p>
    <w:p w14:paraId="7554E17C" w14:textId="4C51BEA1" w:rsidR="004123AC" w:rsidRPr="000F2811" w:rsidRDefault="0065532C" w:rsidP="002D6BC8">
      <w:pPr>
        <w:spacing w:line="360" w:lineRule="auto"/>
        <w:jc w:val="both"/>
        <w:rPr>
          <w:rFonts w:ascii="Arial" w:hAnsi="Arial" w:cs="Arial"/>
          <w:sz w:val="24"/>
          <w:szCs w:val="24"/>
        </w:rPr>
      </w:pPr>
      <w:r w:rsidRPr="000F2811">
        <w:rPr>
          <w:rFonts w:ascii="Arial" w:hAnsi="Arial" w:cs="Arial"/>
          <w:sz w:val="24"/>
          <w:szCs w:val="24"/>
        </w:rPr>
        <w:lastRenderedPageBreak/>
        <w:t>P</w:t>
      </w:r>
      <w:r w:rsidR="004123AC" w:rsidRPr="000F2811">
        <w:rPr>
          <w:rFonts w:ascii="Arial" w:hAnsi="Arial" w:cs="Arial"/>
          <w:sz w:val="24"/>
          <w:szCs w:val="24"/>
        </w:rPr>
        <w:t xml:space="preserve">ostoperativ </w:t>
      </w:r>
      <w:r w:rsidRPr="000F2811">
        <w:rPr>
          <w:rFonts w:ascii="Arial" w:hAnsi="Arial" w:cs="Arial"/>
          <w:sz w:val="24"/>
          <w:szCs w:val="24"/>
        </w:rPr>
        <w:t xml:space="preserve">ist </w:t>
      </w:r>
      <w:r w:rsidR="004123AC" w:rsidRPr="000F2811">
        <w:rPr>
          <w:rFonts w:ascii="Arial" w:hAnsi="Arial" w:cs="Arial"/>
          <w:sz w:val="24"/>
          <w:szCs w:val="24"/>
        </w:rPr>
        <w:t xml:space="preserve">eine adjuvante strahlentherapeutische Behandlung indiziert. Historisch betrachtet galt dabei lange Zeit die adjuvante Ganzhirn-Radiotherapie (RT) als Standard. </w:t>
      </w:r>
      <w:r w:rsidRPr="000F2811">
        <w:rPr>
          <w:rFonts w:ascii="Arial" w:hAnsi="Arial" w:cs="Arial"/>
          <w:sz w:val="24"/>
          <w:szCs w:val="24"/>
        </w:rPr>
        <w:t>Diese</w:t>
      </w:r>
      <w:r w:rsidR="004123AC" w:rsidRPr="000F2811">
        <w:rPr>
          <w:rFonts w:ascii="Arial" w:hAnsi="Arial" w:cs="Arial"/>
          <w:sz w:val="24"/>
          <w:szCs w:val="24"/>
        </w:rPr>
        <w:t xml:space="preserve"> führte zwar zu einem signifikanten Rückgang an intrakraniellen Rezidiven, hat</w:t>
      </w:r>
      <w:r w:rsidRPr="000F2811">
        <w:rPr>
          <w:rFonts w:ascii="Arial" w:hAnsi="Arial" w:cs="Arial"/>
          <w:sz w:val="24"/>
          <w:szCs w:val="24"/>
        </w:rPr>
        <w:t>te</w:t>
      </w:r>
      <w:r w:rsidR="004123AC" w:rsidRPr="000F2811">
        <w:rPr>
          <w:rFonts w:ascii="Arial" w:hAnsi="Arial" w:cs="Arial"/>
          <w:sz w:val="24"/>
          <w:szCs w:val="24"/>
        </w:rPr>
        <w:t xml:space="preserve"> aber keinen Einfluss auf das Gesamtüberleben.</w:t>
      </w:r>
      <w:r w:rsidR="00D14293">
        <w:rPr>
          <w:rFonts w:ascii="Arial" w:hAnsi="Arial" w:cs="Arial"/>
          <w:sz w:val="24"/>
          <w:szCs w:val="24"/>
        </w:rPr>
        <w:fldChar w:fldCharType="begin" w:fldLock="1"/>
      </w:r>
      <w:r w:rsidR="0042445A">
        <w:rPr>
          <w:rFonts w:ascii="Arial" w:hAnsi="Arial" w:cs="Arial"/>
          <w:sz w:val="24"/>
          <w:szCs w:val="24"/>
        </w:rPr>
        <w:instrText>ADDIN CSL_CITATION {"citationItems":[{"id":"ITEM-1","itemData":{"DOI":"10.1200/JCO.2010.30.1655","ISSN":"1527-7755","PMID":"21041710","abstract":"PURPOSE This European Organisation for Research and Treatment of Cancer phase III trial assesses whether adjuvant whole-brain radiotherapy (WBRT) increases the duration of functional independence after surgery or radiosurgery of brain metastases. PATIENTS AND METHODS Patients with one to three brain metastases of solid tumors (small-cell lung cancer excluded) with stable systemic disease or asymptomatic primary tumors and WHO performance status (PS) of 0 to 2 were treated with complete surgery or radiosurgery and randomly assigned to adjuvant WBRT (30 Gy in 10 fractions) or observation (OBS). The primary end point was time to WHO PS deterioration to more than 2. RESULTS Of 359 patients, 199 underwent radiosurgery, and 160 underwent surgery. In the radiosurgery group, 100 patients were allocated to OBS, and 99 were allocated to WBRT. After surgery, 79 patients were allocated to OBS, and 81 were allocated to adjuvant WBRT. The median time to WHO PS more than 2 was 10.0 months (95% CI, 8.1 to 11.7 months) after OBS and 9.5 months (95% CI, 7.8 to 11.9 months) after WBRT (P = .71). Overall survival was similar in the WBRT and OBS arms (median, 10.9 v 10.7 months, respectively; P = .89). WBRT reduced the 2-year relapse rate both at initial sites (surgery: 59% to 27%, P &lt; .001; radiosurgery: 31% to 19%, P = .040) and at new sites (surgery: 42% to 23%, P = .008; radiosurgery: 48% to 33%, P = .023). Salvage therapies were used more frequently after OBS than after WBRT. Intracranial progression caused death in 78 (44%) of 179 patients in the OBS arm and in 50 (28%) of 180 patients in the WBRT arm. CONCLUSION After radiosurgery or surgery of a limited number of brain metastases, adjuvant WBRT reduces intracranial relapses and neurologic deaths but fails to improve the duration of functional independence and overall survival.","author":[{"dropping-particle":"","family":"Kocher","given":"Martin","non-dropping-particle":"","parse-names":false,"suffix":""},{"dropping-particle":"","family":"Soffietti","given":"Riccardo","non-dropping-particle":"","parse-names":false,"suffix":""},{"dropping-particle":"","family":"Abacioglu","given":"Ufuk","non-dropping-particle":"","parse-names":false,"suffix":""},{"dropping-particle":"","family":"Villà","given":"Salvador","non-dropping-particle":"","parse-names":false,"suffix":""},{"dropping-particle":"","family":"Fauchon","given":"Francois","non-dropping-particle":"","parse-names":false,"suffix":""},{"dropping-particle":"","family":"Baumert","given":"Brigitta G","non-dropping-particle":"","parse-names":false,"suffix":""},{"dropping-particle":"","family":"Fariselli","given":"Laura","non-dropping-particle":"","parse-names":false,"suffix":""},{"dropping-particle":"","family":"Tzuk-Shina","given":"Tzahala","non-dropping-particle":"","parse-names":false,"suffix":""},{"dropping-particle":"","family":"Kortmann","given":"Rolf-Dieter","non-dropping-particle":"","parse-names":false,"suffix":""},{"dropping-particle":"","family":"Carrie","given":"Christian","non-dropping-particle":"","parse-names":false,"suffix":""},{"dropping-particle":"","family":"Hassel","given":"Mohamed","non-dropping-particle":"Ben","parse-names":false,"suffix":""},{"dropping-particle":"","family":"Kouri","given":"Mauri","non-dropping-particle":"","parse-names":false,"suffix":""},{"dropping-particle":"","family":"Valeinis","given":"Egils","non-dropping-particle":"","parse-names":false,"suffix":""},{"dropping-particle":"","family":"Berge","given":"Dirk","non-dropping-particle":"van den","parse-names":false,"suffix":""},{"dropping-particle":"","family":"Collette","given":"Sandra","non-dropping-particle":"","parse-names":false,"suffix":""},{"dropping-particle":"","family":"Collette","given":"Laurence","non-dropping-particle":"","parse-names":false,"suffix":""},{"dropping-particle":"","family":"Mueller","given":"Rolf-Peter","non-dropping-particle":"","parse-names":false,"suffix":""}],"container-title":"Journal of clinical oncology : official journal of the American Society of Clinical Oncology","id":"ITEM-1","issue":"2","issued":{"date-parts":[["2011","1","10"]]},"page":"134-41","title":"Adjuvant whole-brain radiotherapy versus observation after radiosurgery or surgical resection of one to three cerebral metastases: results of the EORTC 22952-26001 study.","type":"article-journal","volume":"29"},"uris":["http://www.mendeley.com/documents/?uuid=291453a3-c2cb-3ffe-8cf9-1df6e56f5527"]}],"mendeley":{"formattedCitation":"&lt;sup&gt;17&lt;/sup&gt;","plainTextFormattedCitation":"17","previouslyFormattedCitation":"&lt;sup&gt;17&lt;/sup&gt;"},"properties":{"noteIndex":0},"schema":"https://github.com/citation-style-language/schema/raw/master/csl-citation.json"}</w:instrText>
      </w:r>
      <w:r w:rsidR="00D14293">
        <w:rPr>
          <w:rFonts w:ascii="Arial" w:hAnsi="Arial" w:cs="Arial"/>
          <w:sz w:val="24"/>
          <w:szCs w:val="24"/>
        </w:rPr>
        <w:fldChar w:fldCharType="separate"/>
      </w:r>
      <w:r w:rsidR="0042445A" w:rsidRPr="0042445A">
        <w:rPr>
          <w:rFonts w:ascii="Arial" w:hAnsi="Arial" w:cs="Arial"/>
          <w:noProof/>
          <w:sz w:val="24"/>
          <w:szCs w:val="24"/>
          <w:vertAlign w:val="superscript"/>
        </w:rPr>
        <w:t>17</w:t>
      </w:r>
      <w:r w:rsidR="00D14293">
        <w:rPr>
          <w:rFonts w:ascii="Arial" w:hAnsi="Arial" w:cs="Arial"/>
          <w:sz w:val="24"/>
          <w:szCs w:val="24"/>
        </w:rPr>
        <w:fldChar w:fldCharType="end"/>
      </w:r>
      <w:r w:rsidR="004123AC" w:rsidRPr="000F2811">
        <w:rPr>
          <w:rFonts w:ascii="Arial" w:hAnsi="Arial" w:cs="Arial"/>
          <w:sz w:val="24"/>
          <w:szCs w:val="24"/>
        </w:rPr>
        <w:t xml:space="preserve"> Um negative Langzeit Effekte auf die kognitive Funktionsfähigkeit zu minimieren</w:t>
      </w:r>
      <w:r w:rsidR="00DF1FF3">
        <w:rPr>
          <w:rFonts w:ascii="Arial" w:hAnsi="Arial" w:cs="Arial"/>
          <w:sz w:val="24"/>
          <w:szCs w:val="24"/>
        </w:rPr>
        <w:t>,</w:t>
      </w:r>
      <w:r w:rsidR="004123AC" w:rsidRPr="000F2811">
        <w:rPr>
          <w:rFonts w:ascii="Arial" w:hAnsi="Arial" w:cs="Arial"/>
          <w:sz w:val="24"/>
          <w:szCs w:val="24"/>
        </w:rPr>
        <w:t xml:space="preserve"> </w:t>
      </w:r>
      <w:r w:rsidRPr="000F2811">
        <w:rPr>
          <w:rFonts w:ascii="Arial" w:hAnsi="Arial" w:cs="Arial"/>
          <w:sz w:val="24"/>
          <w:szCs w:val="24"/>
        </w:rPr>
        <w:t>fanden</w:t>
      </w:r>
      <w:r w:rsidR="004123AC" w:rsidRPr="000F2811">
        <w:rPr>
          <w:rFonts w:ascii="Arial" w:hAnsi="Arial" w:cs="Arial"/>
          <w:sz w:val="24"/>
          <w:szCs w:val="24"/>
        </w:rPr>
        <w:t xml:space="preserve"> immer konformalere Bestrahlungstechniken </w:t>
      </w:r>
      <w:r w:rsidRPr="000F2811">
        <w:rPr>
          <w:rFonts w:ascii="Arial" w:hAnsi="Arial" w:cs="Arial"/>
          <w:sz w:val="24"/>
          <w:szCs w:val="24"/>
        </w:rPr>
        <w:t xml:space="preserve">Einzug, </w:t>
      </w:r>
      <w:r w:rsidR="004123AC" w:rsidRPr="000F2811">
        <w:rPr>
          <w:rFonts w:ascii="Arial" w:hAnsi="Arial" w:cs="Arial"/>
          <w:sz w:val="24"/>
          <w:szCs w:val="24"/>
        </w:rPr>
        <w:t xml:space="preserve">sodass z.B. das Tumorbett nach operativer </w:t>
      </w:r>
      <w:r w:rsidRPr="000F2811">
        <w:rPr>
          <w:rFonts w:ascii="Arial" w:hAnsi="Arial" w:cs="Arial"/>
          <w:sz w:val="24"/>
          <w:szCs w:val="24"/>
        </w:rPr>
        <w:t>Tumore</w:t>
      </w:r>
      <w:r w:rsidR="004123AC" w:rsidRPr="000F2811">
        <w:rPr>
          <w:rFonts w:ascii="Arial" w:hAnsi="Arial" w:cs="Arial"/>
          <w:sz w:val="24"/>
          <w:szCs w:val="24"/>
        </w:rPr>
        <w:t xml:space="preserve">ntfernung </w:t>
      </w:r>
      <w:r w:rsidRPr="000F2811">
        <w:rPr>
          <w:rFonts w:ascii="Arial" w:hAnsi="Arial" w:cs="Arial"/>
          <w:sz w:val="24"/>
          <w:szCs w:val="24"/>
        </w:rPr>
        <w:t>lokal</w:t>
      </w:r>
      <w:r w:rsidR="004123AC" w:rsidRPr="000F2811">
        <w:rPr>
          <w:rFonts w:ascii="Arial" w:hAnsi="Arial" w:cs="Arial"/>
          <w:sz w:val="24"/>
          <w:szCs w:val="24"/>
        </w:rPr>
        <w:t xml:space="preserve"> perkutan fraktioniert nachbestrahlt wird.</w:t>
      </w:r>
      <w:r w:rsidR="000C74FE">
        <w:rPr>
          <w:rFonts w:ascii="Arial" w:hAnsi="Arial" w:cs="Arial"/>
          <w:sz w:val="24"/>
          <w:szCs w:val="24"/>
        </w:rPr>
        <w:fldChar w:fldCharType="begin" w:fldLock="1"/>
      </w:r>
      <w:r w:rsidR="004B408B">
        <w:rPr>
          <w:rFonts w:ascii="Arial" w:hAnsi="Arial" w:cs="Arial"/>
          <w:sz w:val="24"/>
          <w:szCs w:val="24"/>
        </w:rPr>
        <w:instrText>ADDIN CSL_CITATION {"citationItems":[{"id":"ITEM-1","itemData":{"DOI":"10.1016/S1470-2045(17)30441-2","ISSN":"14745488","PMID":"28687377","abstract":"Background Whole brain radiotherapy (WBRT) is the standard of care to improve intracranial control following resection of brain metastasis. However, stereotactic radiosurgery (SRS) to the surgical cavity is widely used in an attempt to reduce cognitive toxicity, despite the absence of high-level comparative data substantiating efficacy in the postoperative setting. We aimed to establish the effect of SRS on survival and cognitive outcomes compared with WBRT in patients with resected brain metastasis. Methods In this randomised, controlled, phase 3 trial, adult patients (aged 18 years or older) from 48 institutions in the USA and Canada with one resected brain metastasis and a resection cavity less than 5·0 cm in maximal extent were randomly assigned (1:1) to either postoperative SRS (12–20 Gy single fraction with dose determined by surgical cavity volume) or WBRT (30 Gy in ten daily fractions or 37·5 Gy in 15 daily fractions of 2·5 Gy; fractionation schedule predetermined for all patients at treating centre). We randomised patients using a dynamic allocation strategy with stratification factors of age, duration of extracranial disease control, number of brain metastases, histology, maximal resection cavity diameter, and treatment centre. Patients and investigators were not masked to treatment allocation. The co-primary endpoints were cognitive-deterioration-free survival and overall survival, and analyses were done by intention to treat. We report the final analysis. This trial is registered with ClinicalTrials.gov, number NCT01372774. Findings Between Nov 10, 2011, and Nov 16, 2015, 194 patients were enrolled and randomly assigned to SRS (98 patients) or WBRT (96 patients). Median follow-up was 11·1 months (IQR 5·1–18·0). Cognitive-deterioration-free survival was longer in patients assigned to SRS (median 3·7 months [95% CI 3·45–5·06], 93 events) than in patients assigned to WBRT (median 3·0 months [2·86–3·25], 93 events; hazard ratio [HR] 0·47 [95% CI 0·35–0·63]; p&lt;0·0001), and cognitive deterioration at 6 months was less frequent in patients who received SRS than those who received WBRT (28 [52%] of 54 evaluable patients assigned to SRS vs 41 [85%] of 48 evaluable patients assigned to WBRT; difference −33·6% [95% CI −45·3 to −21·8], p&lt;0·00031). Median overall survival was 12·2 months (95% CI 9·7–16·0, 69 deaths) for SRS and 11·6 months (9·9–18·0, 67 deaths) for WBRT (HR 1·07 [95% CI 0·76–1·50]; p=0·70). The most common grade 3 or 4 adverse events rep…","author":[{"dropping-particle":"","family":"Brown","given":"Paul D.","non-dropping-particle":"","parse-names":false,"suffix":""},{"dropping-particle":"V.","family":"Ballman","given":"Karla","non-dropping-particle":"","parse-names":false,"suffix":""},{"dropping-particle":"","family":"Cerhan","given":"Jane H.","non-dropping-particle":"","parse-names":false,"suffix":""},{"dropping-particle":"","family":"Anderson","given":"S. Keith","non-dropping-particle":"","parse-names":false,"suffix":""},{"dropping-particle":"","family":"Carrero","given":"Xiomara W.","non-dropping-particle":"","parse-names":false,"suffix":""},{"dropping-particle":"","family":"Whitton","given":"Anthony C.","non-dropping-particle":"","parse-names":false,"suffix":""},{"dropping-particle":"","family":"Greenspoon","given":"Jeffrey","non-dropping-particle":"","parse-names":false,"suffix":""},{"dropping-particle":"","family":"Parney","given":"Ian F.","non-dropping-particle":"","parse-names":false,"suffix":""},{"dropping-particle":"","family":"Laack","given":"Nadia N.I.","non-dropping-particle":"","parse-names":false,"suffix":""},{"dropping-particle":"","family":"Ashman","given":"Jonathan B.","non-dropping-particle":"","parse-names":false,"suffix":""},{"dropping-particle":"","family":"Bahary","given":"Jean Paul","non-dropping-particle":"","parse-names":false,"suffix":""},{"dropping-particle":"","family":"Hadjipanayis","given":"Costas G.","non-dropping-particle":"","parse-names":false,"suffix":""},{"dropping-particle":"","family":"Urbanic","given":"James J.","non-dropping-particle":"","parse-names":false,"suffix":""},{"dropping-particle":"","family":"Barker","given":"Fred G.","non-dropping-particle":"","parse-names":false,"suffix":""},{"dropping-particle":"","family":"Farace","given":"Elana","non-dropping-particle":"","parse-names":false,"suffix":""},{"dropping-particle":"","family":"Khuntia","given":"Deepak","non-dropping-particle":"","parse-names":false,"suffix":""},{"dropping-particle":"","family":"Giannini","given":"Caterina","non-dropping-particle":"","parse-names":false,"suffix":""},{"dropping-particle":"","family":"Buckner","given":"Jan C.","non-dropping-particle":"","parse-names":false,"suffix":""},{"dropping-particle":"","family":"Galanis","given":"Evanthia","non-dropping-particle":"","parse-names":false,"suffix":""},{"dropping-particle":"","family":"Roberge","given":"David","non-dropping-particle":"","parse-names":false,"suffix":""}],"container-title":"The Lancet Oncology","id":"ITEM-1","issue":"8","issued":{"date-parts":[["2017","8","1"]]},"page":"1049-1060","publisher":"Lancet Publishing Group","title":"Postoperative stereotactic radiosurgery compared with whole brain radiotherapy for resected metastatic brain disease (NCCTG N107C/CEC·3): a multicentre, randomised, controlled, phase 3 trial","type":"article-journal","volume":"18"},"uris":["http://www.mendeley.com/documents/?uuid=90c88208-cdea-3cbf-9af6-cc9a9df733f4"]}],"mendeley":{"formattedCitation":"&lt;sup&gt;21&lt;/sup&gt;","plainTextFormattedCitation":"21","previouslyFormattedCitation":"&lt;sup&gt;21&lt;/sup&gt;"},"properties":{"noteIndex":0},"schema":"https://github.com/citation-style-language/schema/raw/master/csl-citation.json"}</w:instrText>
      </w:r>
      <w:r w:rsidR="000C74FE">
        <w:rPr>
          <w:rFonts w:ascii="Arial" w:hAnsi="Arial" w:cs="Arial"/>
          <w:sz w:val="24"/>
          <w:szCs w:val="24"/>
        </w:rPr>
        <w:fldChar w:fldCharType="separate"/>
      </w:r>
      <w:r w:rsidR="004B408B" w:rsidRPr="004B408B">
        <w:rPr>
          <w:rFonts w:ascii="Arial" w:hAnsi="Arial" w:cs="Arial"/>
          <w:noProof/>
          <w:sz w:val="24"/>
          <w:szCs w:val="24"/>
          <w:vertAlign w:val="superscript"/>
        </w:rPr>
        <w:t>21</w:t>
      </w:r>
      <w:r w:rsidR="000C74FE">
        <w:rPr>
          <w:rFonts w:ascii="Arial" w:hAnsi="Arial" w:cs="Arial"/>
          <w:sz w:val="24"/>
          <w:szCs w:val="24"/>
        </w:rPr>
        <w:fldChar w:fldCharType="end"/>
      </w:r>
      <w:r w:rsidR="004123AC" w:rsidRPr="000F2811">
        <w:rPr>
          <w:rFonts w:ascii="Arial" w:hAnsi="Arial" w:cs="Arial"/>
          <w:sz w:val="24"/>
          <w:szCs w:val="24"/>
        </w:rPr>
        <w:t xml:space="preserve"> Dabei kann grundsätzlich eine normofraktionierte Behandlung mit 2 Gray (Gy) Einzeldosis, aber auch, eine hypofraktionierte RT (Einzeldosis höher als 2 Gy) angewandt werden. Dosierungsschemata mit 3 x 8 Gy bis hin zu 10 x 4 Gy zeigten in retrospektiven Analysen eine lokale 1-Jahres-Kontrollrate von 71–88 %.</w:t>
      </w:r>
      <w:r w:rsidR="000C74FE">
        <w:rPr>
          <w:rFonts w:ascii="Arial" w:hAnsi="Arial" w:cs="Arial"/>
          <w:sz w:val="24"/>
          <w:szCs w:val="24"/>
        </w:rPr>
        <w:fldChar w:fldCharType="begin" w:fldLock="1"/>
      </w:r>
      <w:r w:rsidR="004B408B">
        <w:rPr>
          <w:rFonts w:ascii="Arial" w:hAnsi="Arial" w:cs="Arial"/>
          <w:sz w:val="24"/>
          <w:szCs w:val="24"/>
        </w:rPr>
        <w:instrText>ADDIN CSL_CITATION {"citationItems":[{"id":"ITEM-1","itemData":{"DOI":"10.1007/s00066-016-0955-2","ISSN":"1439099X","PMID":"26964777","abstract":"Purpose: Aim of this single center, retrospective study was to assess the efficacy and safety of linear accelerator-based hypofractionated stereotactic radiotherapy (HFSRT) to the resection cavity of brain metastases after surgical resection. Local control (LC), locoregional control (LRC = new brain metastases outside of the treatment volume), overall survival (OS) as well as acute and late toxicity were evaluated. Patients and methods: 46 patients with large (&gt; 3 cm) or symptomatic brain metastases were treated with HFSRT. Median resection cavity volume was 14.16 cm3 (range 1.44–38.68 cm3) and median planning target volume (PTV) was 26.19 cm3 (range 3.45–63.97 cm3). Patients were treated with 35 Gy in 7 fractions prescribed to the 95–100 % isodose line in a stereotactic treatment setup. LC and LRC were assessed by follow-up magnetic resonance imaging. Results: The 1-year LC rate was 88 % and LRC was 48 %; 57% of all patients showed cranial progression after HFSRT (4% local, 44% locoregional, 9% local and locoregional). The median follow-up was 19 months; median OS for the whole cohort was 25 months. Tumor histology and recursive partitioning analysis score were significant predictors for OS. HFSRT was tolerated well without any severe acute side effects &gt; grade 2 according to CTCAE criteria. Conclusion: HFSRT after surgical resection of brain metastases was tolerated well without any severe acute side effects and led to excellent LC and a favorable OS. Since more than half of the patients showed cranial progression after local irradiation of the resection cavity, close patient follow-up is warranted. A prospective evaluation in clinical trials is currently being performed.","author":[{"dropping-particle":"","family":"Specht","given":"Hanno M.","non-dropping-particle":"","parse-names":false,"suffix":""},{"dropping-particle":"","family":"Kessel","given":"Kerstin A.","non-dropping-particle":"","parse-names":false,"suffix":""},{"dropping-particle":"","family":"Oechsner","given":"Markus","non-dropping-particle":"","parse-names":false,"suffix":""},{"dropping-particle":"","family":"Meyer","given":"Bernhard","non-dropping-particle":"","parse-names":false,"suffix":""},{"dropping-particle":"","family":"Zimmer","given":"Claus","non-dropping-particle":"","parse-names":false,"suffix":""},{"dropping-particle":"","family":"Combs","given":"Stephanie E.","non-dropping-particle":"","parse-names":false,"suffix":""}],"container-title":"Strahlentherapie und Onkologie","id":"ITEM-1","issue":"6","issued":{"date-parts":[["2016","6","1"]]},"page":"368-376","publisher":"Urban und Vogel GmbH","title":"HFSRT der Resektionshöhle bei Patienten mit Hirnmetastasen","type":"article-journal","volume":"192"},"uris":["http://www.mendeley.com/documents/?uuid=e7943d12-037e-31f0-a441-549752158635"]},{"id":"ITEM-2","itemData":{"DOI":"10.1016/j.wneu.2016.10.076","ISSN":"18788769","PMID":"27777153","abstract":"Objective To evaluate the efficacy of postoperative fractionated stereotactic radiosurgery (FSRS) and hypofractionated stereotactic radiotherapy (SRT) to large surgical cavities after gross total resection of brain metastases. Methods A retrospective analysis of 41 patients who had received tumor-bed FSRS (5 fractions) or SRT (10 fractions) after resection of brain metastasis between 2005 and 2015 was performed. All resection cavities were treated with a frameless linear accelerator-based system. Patients who underwent subtotal resection, single-dose SRS to the resection cavity, or were treated with a fractionation schedule other than 5 or 10 fractions, were excluded. Results Twenty-six patients were treated with 5 fractions and 15 patients with 10 fractions. The median planning target volume was 19.78 cm3 (12.3–28 cm3) to the 5-fraction group and 29.79 cm3 (26.3–47.6 cm3) to the 10-fraction group (P = 0.020). The 1-year and 2-year local control rates for all patients were 89.4% and 77.1%, respectively, and 89.6% and 78.6% were free from distant intracranial progression, respectively. No difference was observed in local control or freedom from distant intracranial progression between the 5-fraction or 10-fraction groups. The median overall survival was 28.27 months (95% confidence interval, 19.42–37.12) for all patients. No patient developed necrosis at the resection cavity. Conclusions Fractionation offers the potential to exploit the different biological responses between neoplastic and normal tissues to ionizing radiation. The use of 5 daily doses of 5–6 Gy or 10 daily doses of 3 Gy is a good strategy to have a reasonable local control and avoid neurotoxicity.","author":[{"dropping-particle":"","family":"Lima","given":"Leonardo conrado S.","non-dropping-particle":"","parse-names":false,"suffix":""},{"dropping-particle":"","family":"Sharim","given":"Justin","non-dropping-particle":"","parse-names":false,"suffix":""},{"dropping-particle":"","family":"Levin-Epstein","given":"Rebecca","non-dropping-particle":"","parse-names":false,"suffix":""},{"dropping-particle":"","family":"Tenn","given":"Stephen","non-dropping-particle":"","parse-names":false,"suffix":""},{"dropping-particle":"","family":"Teles","given":"Alisson R.","non-dropping-particle":"","parse-names":false,"suffix":""},{"dropping-particle":"","family":"Kaprealian","given":"Tania","non-dropping-particle":"","parse-names":false,"suffix":""},{"dropping-particle":"","family":"Pouratian","given":"Nader","non-dropping-particle":"","parse-names":false,"suffix":""}],"container-title":"World Neurosurgery","id":"ITEM-2","issued":{"date-parts":[["2017","1","1"]]},"page":"571-579","publisher":"Elsevier Inc.","title":"Hypofractionated Stereotactic Radiosurgery and Radiotherapy to Large Resection Cavity of Metastatic Brain Tumors","type":"article-journal","volume":"97"},"uris":["http://www.mendeley.com/documents/?uuid=396b8445-faac-3786-b8a7-cb8b0906248c"]},{"id":"ITEM-3","itemData":{"DOI":"10.1007/s00432-012-1227-x","ISSN":"01715216","PMID":"22526164","abstract":"Purpose: Standard treatment of single brain metastases so far is tumour resection in combination with postoperative whole-brain radiotherapy or stereotactic radiosurgery. Here, we report retrospectively our first experience with postoperative hypofractionated stereotactic radiotherapy (hfSRT) to the resection cavity in order to replace upfront WBRT with respect to treatment efficacy and safety. Methods: Between March 2006 and October 2011, 33 patients with a single newly diagnosed intracranial metastasis were treated with hfSRT following microsurgical resection. Fractionation concepts were 10 × 4 Gy (n = 22), 7 × 5 Gy (n = 7) and 5 × 6 Gy (n = 4). Planning target volume enclosed the tumour resection cavity with a safety margin of 4 mm. Results: No patient demonstrated toxicity grade 2 or higher. Actuarial median overall survival summed up to 20.2 months, and 12-month survival was 64 %. Actuarial mean local brain control was 30.6 months, median distant brain control 12.4 months and intracranial control 8.8 months, respectively. Actuarial 1-year rates of local, distant brain and intracranial control were 71, 57 and 43 %. Salvage whole-brain radiotherapy due to recurrent brain metastases was performed in 13 patients (39 %). Conclusion: Postoperative hfSRT appears to be a feasible treatment option in patients with a single newly diagnosed brain metastasis. Replacing the standard postoperative whole-brain radiotherapy necessitates compliant patients and regular MRI follow-up analysis. © Springer-Verlag 2012.","author":[{"dropping-particle":"","family":"Steinmann","given":"Diana","non-dropping-particle":"","parse-names":false,"suffix":""},{"dropping-particle":"","family":"Maertens","given":"Bettina","non-dropping-particle":"","parse-names":false,"suffix":""},{"dropping-particle":"","family":"Janssen","given":"Stefan","non-dropping-particle":"","parse-names":false,"suffix":""},{"dropping-particle":"","family":"Werner","given":"Martin","non-dropping-particle":"","parse-names":false,"suffix":""},{"dropping-particle":"","family":"Frühauf","given":"Jörg","non-dropping-particle":"","parse-names":false,"suffix":""},{"dropping-particle":"","family":"Nakamura","given":"Makoto","non-dropping-particle":"","parse-names":false,"suffix":""},{"dropping-particle":"","family":"Christiansen","given":"Hans","non-dropping-particle":"","parse-names":false,"suffix":""},{"dropping-particle":"","family":"Bremer","given":"Michael","non-dropping-particle":"","parse-names":false,"suffix":""}],"container-title":"Journal of Cancer Research and Clinical Oncology","id":"ITEM-3","issue":"9","issued":{"date-parts":[["2012","9"]]},"page":"1523-1529","publisher":"J Cancer Res Clin Oncol","title":"Hypofractionated stereotactic radiotherapy (hfSRT) after tumour resection of a single brain metastasis: Report of a single-centre individualized treatment approach","type":"article-journal","volume":"138"},"uris":["http://www.mendeley.com/documents/?uuid=640a10a4-d7fd-35a0-b5fe-d4f190af06c3"]}],"mendeley":{"formattedCitation":"&lt;sup&gt;22–24&lt;/sup&gt;","plainTextFormattedCitation":"22–24","previouslyFormattedCitation":"&lt;sup&gt;22–24&lt;/sup&gt;"},"properties":{"noteIndex":0},"schema":"https://github.com/citation-style-language/schema/raw/master/csl-citation.json"}</w:instrText>
      </w:r>
      <w:r w:rsidR="000C74FE">
        <w:rPr>
          <w:rFonts w:ascii="Arial" w:hAnsi="Arial" w:cs="Arial"/>
          <w:sz w:val="24"/>
          <w:szCs w:val="24"/>
        </w:rPr>
        <w:fldChar w:fldCharType="separate"/>
      </w:r>
      <w:r w:rsidR="004B408B" w:rsidRPr="004B408B">
        <w:rPr>
          <w:rFonts w:ascii="Arial" w:hAnsi="Arial" w:cs="Arial"/>
          <w:noProof/>
          <w:sz w:val="24"/>
          <w:szCs w:val="24"/>
          <w:vertAlign w:val="superscript"/>
        </w:rPr>
        <w:t>22–24</w:t>
      </w:r>
      <w:r w:rsidR="000C74FE">
        <w:rPr>
          <w:rFonts w:ascii="Arial" w:hAnsi="Arial" w:cs="Arial"/>
          <w:sz w:val="24"/>
          <w:szCs w:val="24"/>
        </w:rPr>
        <w:fldChar w:fldCharType="end"/>
      </w:r>
      <w:r w:rsidR="004123AC" w:rsidRPr="000F2811">
        <w:rPr>
          <w:rFonts w:ascii="Arial" w:hAnsi="Arial" w:cs="Arial"/>
          <w:sz w:val="24"/>
          <w:szCs w:val="24"/>
        </w:rPr>
        <w:t xml:space="preserve"> Bei unkritischer Lage der präoperativen Hirnmetastase, ausreichend entfernt zu intrakraniellen Risikostrukturen wie dem Hirnstamm oder optischen System, kann analog zu RTOG 90-05 eine Tumorgrößen-adaptierte Radiochirurgie in einer Behandlungsfraktion durchgeführt werden (≤ 20 mm: 1x24 Gy, 21-30 mm: 18 Gy, 31-40 mm: 15 Gy).</w:t>
      </w:r>
      <w:r w:rsidR="000C74FE">
        <w:rPr>
          <w:rFonts w:ascii="Arial" w:hAnsi="Arial" w:cs="Arial"/>
          <w:sz w:val="24"/>
          <w:szCs w:val="24"/>
        </w:rPr>
        <w:fldChar w:fldCharType="begin" w:fldLock="1"/>
      </w:r>
      <w:r w:rsidR="004B408B">
        <w:rPr>
          <w:rFonts w:ascii="Arial" w:hAnsi="Arial" w:cs="Arial"/>
          <w:sz w:val="24"/>
          <w:szCs w:val="24"/>
        </w:rPr>
        <w:instrText>ADDIN CSL_CITATION {"citationItems":[{"id":"ITEM-1","itemData":{"DOI":"10.1016/S0360-3016(99)00507-6","ISSN":"03603016","PMID":"10802351","abstract":"Purpose: To determine the maximum tolerated dose of single fraction radiosurgery in patients with recurrent previously irradiated primary brain tumors and brain metastases. Methods and Materials: Adults with cerebral or cerebellar solitary non-brainstem tumors ≤ 40 mm in maximum diameter were eligible. Initial radiosurgical doses were 18 Gy for tumors ≤ 20 mm, 15 Gy for those 21-30 mm, and 12 Gy for those 31-40 mm in maximum diameter. Dose was prescribed to the 50-90% isodose line. Doses were escalated in 3 Gy increments providing the incidence of irreversible grade 3 (severe) or any grade 4 (life threatening) or grade 5 (fatal) Radiation Therapy Oncology Group (RTOG) central nervous system (CNS) toxicity (unacceptable CNS toxicity) was &lt; 20% within 3 months of radiosurgery. Chronic CNS toxicity was also assessed. Results: Between 1990-1994, 156 analyzable patients were entered, 36% of whom had recurrent primary brain tumors (median prior dose 60 Gy) and 64% recurrent brain metastases (median prior dose 30 Gy). The maximum tolerated doses were 24 Gy, 18 Gy, and 15 Gy for tumors ≤ 20 mm, 21-30 mm, and 31-40 mm in maximum diameter, respectively. However, for tumors &lt; 20 mm, investigators' reluctance to escalate to 27 Gy, rather than excessive toxicity, determined the maximum tolerated dose. In a multivariate analysis, maximum tumor diameter was one variable associated with a significantly increased risk of grade 3, 4, or 5 neurotoxicity. Tumors 21-40 mm were 7.3 to 16 times more likely to develop grade 3-5 neurotoxicity compared to tumors &lt; 20 mm. Other variables significantly associated with grade 3-5 neurotoxicity were tumor dose and Karnofsky Performance Status. The actuarial incidence of radionecrosis was 5%, 8%, 9%, and 11% at 6, 12, 18, and 24 months following radiosurgery, respectively. Forty-eight percent of patients developed tumor progression within the radiosurgical target volume. A multivariate analysis revealed two variables that were significantly associated with an increased risk of local progression, i.e. progression in the radiosurgical target volume. Patients with primary brain tumors (versus brain metastases) had a 2.85 greater risk of local progression. Those treated on a linear accelerator (versus the Gamma Knife) had a 2.84 greater risk of local progression. Of note, 61% of Gamma Knife treated patients had recurrent primary brain tumors compared to 30% of patients treated with a linear accelerator. Conclusions: The maximum tolerated …","author":[{"dropping-particle":"","family":"Shaw","given":"Edward","non-dropping-particle":"","parse-names":false,"suffix":""},{"dropping-particle":"","family":"Scott","given":"Charles","non-dropping-particle":"","parse-names":false,"suffix":""},{"dropping-particle":"","family":"Souhami","given":"Luis","non-dropping-particle":"","parse-names":false,"suffix":""},{"dropping-particle":"","family":"Dinapoli","given":"Robert","non-dropping-particle":"","parse-names":false,"suffix":""},{"dropping-particle":"","family":"Kline","given":"Robert","non-dropping-particle":"","parse-names":false,"suffix":""},{"dropping-particle":"","family":"Loeffler","given":"Jay","non-dropping-particle":"","parse-names":false,"suffix":""},{"dropping-particle":"","family":"Farnan","given":"Nancy","non-dropping-particle":"","parse-names":false,"suffix":""}],"container-title":"International Journal of Radiation Oncology Biology Physics","id":"ITEM-1","issue":"2","issued":{"date-parts":[["2000","5","1"]]},"page":"291-298","publisher":"Int J Radiat Oncol Biol Phys","title":"Single dose radiosurgical treatment of recurrent previously irradiated primary brain tumors and brain metastases: Final report of RTOG protocol 90- 05","type":"article-journal","volume":"47"},"uris":["http://www.mendeley.com/documents/?uuid=91a14ff9-495f-3e74-a4c5-ceba82d74049"]}],"mendeley":{"formattedCitation":"&lt;sup&gt;25&lt;/sup&gt;","plainTextFormattedCitation":"25","previouslyFormattedCitation":"&lt;sup&gt;25&lt;/sup&gt;"},"properties":{"noteIndex":0},"schema":"https://github.com/citation-style-language/schema/raw/master/csl-citation.json"}</w:instrText>
      </w:r>
      <w:r w:rsidR="000C74FE">
        <w:rPr>
          <w:rFonts w:ascii="Arial" w:hAnsi="Arial" w:cs="Arial"/>
          <w:sz w:val="24"/>
          <w:szCs w:val="24"/>
        </w:rPr>
        <w:fldChar w:fldCharType="separate"/>
      </w:r>
      <w:r w:rsidR="004B408B" w:rsidRPr="004B408B">
        <w:rPr>
          <w:rFonts w:ascii="Arial" w:hAnsi="Arial" w:cs="Arial"/>
          <w:noProof/>
          <w:sz w:val="24"/>
          <w:szCs w:val="24"/>
          <w:vertAlign w:val="superscript"/>
        </w:rPr>
        <w:t>25</w:t>
      </w:r>
      <w:r w:rsidR="000C74FE">
        <w:rPr>
          <w:rFonts w:ascii="Arial" w:hAnsi="Arial" w:cs="Arial"/>
          <w:sz w:val="24"/>
          <w:szCs w:val="24"/>
        </w:rPr>
        <w:fldChar w:fldCharType="end"/>
      </w:r>
      <w:r w:rsidR="004123AC" w:rsidRPr="000F2811">
        <w:rPr>
          <w:rFonts w:ascii="Arial" w:hAnsi="Arial" w:cs="Arial"/>
          <w:sz w:val="24"/>
          <w:szCs w:val="24"/>
        </w:rPr>
        <w:t xml:space="preserve"> Ein zusätzlicher Sicherheitsabstand von 2mm um das zu bestrahlende Tumorbett kann das lokale 1-Jahres-Versagen um das 5-fache reduzieren (3 % vs. 16 %).</w:t>
      </w:r>
      <w:r w:rsidR="000C74FE">
        <w:rPr>
          <w:rFonts w:ascii="Arial" w:hAnsi="Arial" w:cs="Arial"/>
          <w:sz w:val="24"/>
          <w:szCs w:val="24"/>
        </w:rPr>
        <w:fldChar w:fldCharType="begin" w:fldLock="1"/>
      </w:r>
      <w:r w:rsidR="004B408B">
        <w:rPr>
          <w:rFonts w:ascii="Arial" w:hAnsi="Arial" w:cs="Arial"/>
          <w:sz w:val="24"/>
          <w:szCs w:val="24"/>
        </w:rPr>
        <w:instrText>ADDIN CSL_CITATION {"citationItems":[{"id":"ITEM-1","itemData":{"DOI":"10.1016/j.ijrobp.2011.12.009","ISSN":"03603016","PMID":"22652105","abstract":"Purpose: Given the neurocognitive toxicity associated with whole-brain irradiation (WBRT), approaches to defer or avoid WBRT after surgical resection of brain metastases are desirable. Our initial experience with stereotactic radiosurgery (SRS) targeting the resection cavity showed promising results. We examined the outcomes of postoperative resection cavity SRS to determine the effect of adding a 2-mm margin around the resection cavity on local failure (LF) and toxicity. Patients and Methods: We retrospectively evaluated 120 cavities in 112 patients treated from 1998-2009. Factors associated with LF and distant brain failure (DF) were analyzed using competing risks analysis, with death as a competing risk. The overall survival (OS) rate was calculated by the Kaplan-Meier product-limit method; variables associated with OS were evaluated using the Cox proportional hazards and log rank tests. Results: The 12-month cumulative incidence rates of LF and DF, with death as a competing risk, were 9.5% and 54%, respectively. On univariate analysis, expansion of the cavity with a 2-mm margin was associated with decreased LF; the 12-month cumulative incidence rates of LF with and without margin were 3% and 16%, respectively (P=.042). The 12-month toxicity rates with and without margin were 3% and 8%, respectively (P=.27). On multivariate analysis, melanoma histology (P=.038) and number of brain metastases (P=.0097) were associated with higher DF. The median OS time was 17 months (range, 2-114 months), with a 12-month OS rate of 62%. Overall, WBRT was avoided in 72% of the patients. Conclusion: Adjuvant SRS targeting the resection cavity of brain metastases results in excellent local control and allows WBRT to be avoided in a majority of patients. A 2-mm margin around the resection cavity improved local control without increasing toxicity compared with our prior technique with no margin. © 2012 Elsevier Inc.","author":[{"dropping-particle":"","family":"Choi","given":"Clara Y.H.","non-dropping-particle":"","parse-names":false,"suffix":""},{"dropping-particle":"","family":"Chang","given":"Steven D.","non-dropping-particle":"","parse-names":false,"suffix":""},{"dropping-particle":"","family":"Gibbs","given":"Iris C.","non-dropping-particle":"","parse-names":false,"suffix":""},{"dropping-particle":"","family":"Adler","given":"John R.","non-dropping-particle":"","parse-names":false,"suffix":""},{"dropping-particle":"","family":"Harsh IV","given":"Griffith R.","non-dropping-particle":"","parse-names":false,"suffix":""},{"dropping-particle":"","family":"Lieberson","given":"Robert E.","non-dropping-particle":"","parse-names":false,"suffix":""},{"dropping-particle":"","family":"Soltys","given":"Scott G.","non-dropping-particle":"","parse-names":false,"suffix":""}],"container-title":"International Journal of Radiation Oncology Biology Physics","id":"ITEM-1","issue":"2","issued":{"date-parts":[["2012","10","1"]]},"page":"336-342","title":"Stereotactic radiosurgery of the postoperative resection cavity for brain metastases: Prospective evaluation of target margin on tumor control","type":"article-journal","volume":"84"},"uris":["http://www.mendeley.com/documents/?uuid=d0e370fc-9ab8-3a1c-916f-d4680caa8681"]}],"mendeley":{"formattedCitation":"&lt;sup&gt;26&lt;/sup&gt;","plainTextFormattedCitation":"26","previouslyFormattedCitation":"&lt;sup&gt;26&lt;/sup&gt;"},"properties":{"noteIndex":0},"schema":"https://github.com/citation-style-language/schema/raw/master/csl-citation.json"}</w:instrText>
      </w:r>
      <w:r w:rsidR="000C74FE">
        <w:rPr>
          <w:rFonts w:ascii="Arial" w:hAnsi="Arial" w:cs="Arial"/>
          <w:sz w:val="24"/>
          <w:szCs w:val="24"/>
        </w:rPr>
        <w:fldChar w:fldCharType="separate"/>
      </w:r>
      <w:r w:rsidR="004B408B" w:rsidRPr="004B408B">
        <w:rPr>
          <w:rFonts w:ascii="Arial" w:hAnsi="Arial" w:cs="Arial"/>
          <w:noProof/>
          <w:sz w:val="24"/>
          <w:szCs w:val="24"/>
          <w:vertAlign w:val="superscript"/>
        </w:rPr>
        <w:t>26</w:t>
      </w:r>
      <w:r w:rsidR="000C74FE">
        <w:rPr>
          <w:rFonts w:ascii="Arial" w:hAnsi="Arial" w:cs="Arial"/>
          <w:sz w:val="24"/>
          <w:szCs w:val="24"/>
        </w:rPr>
        <w:fldChar w:fldCharType="end"/>
      </w:r>
      <w:r w:rsidR="004123AC" w:rsidRPr="000F2811">
        <w:rPr>
          <w:rFonts w:ascii="Arial" w:hAnsi="Arial" w:cs="Arial"/>
          <w:sz w:val="24"/>
          <w:szCs w:val="24"/>
        </w:rPr>
        <w:t xml:space="preserve"> </w:t>
      </w:r>
    </w:p>
    <w:p w14:paraId="545B583E" w14:textId="77777777" w:rsidR="004123AC" w:rsidRPr="000F2811" w:rsidRDefault="004123AC" w:rsidP="002D6BC8">
      <w:pPr>
        <w:spacing w:line="360" w:lineRule="auto"/>
        <w:jc w:val="both"/>
        <w:rPr>
          <w:rFonts w:ascii="Arial" w:hAnsi="Arial" w:cs="Arial"/>
          <w:sz w:val="24"/>
          <w:szCs w:val="24"/>
        </w:rPr>
      </w:pPr>
    </w:p>
    <w:p w14:paraId="4F5528A6" w14:textId="77777777" w:rsidR="004123AC" w:rsidRPr="000F2811" w:rsidRDefault="004123AC" w:rsidP="002D6BC8">
      <w:pPr>
        <w:spacing w:line="360" w:lineRule="auto"/>
        <w:jc w:val="both"/>
        <w:rPr>
          <w:rFonts w:ascii="Arial" w:hAnsi="Arial" w:cs="Arial"/>
          <w:i/>
          <w:sz w:val="24"/>
          <w:szCs w:val="24"/>
        </w:rPr>
      </w:pPr>
      <w:r w:rsidRPr="000F2811">
        <w:rPr>
          <w:rFonts w:ascii="Arial" w:hAnsi="Arial" w:cs="Arial"/>
          <w:i/>
          <w:sz w:val="24"/>
          <w:szCs w:val="24"/>
        </w:rPr>
        <w:t>Ganzhirnbestrahlung</w:t>
      </w:r>
    </w:p>
    <w:p w14:paraId="11055840" w14:textId="4BB9F36E" w:rsidR="004123AC" w:rsidRPr="000F2811" w:rsidRDefault="004123AC" w:rsidP="002D6BC8">
      <w:pPr>
        <w:spacing w:line="360" w:lineRule="auto"/>
        <w:jc w:val="both"/>
        <w:rPr>
          <w:rFonts w:ascii="Arial" w:hAnsi="Arial" w:cs="Arial"/>
          <w:sz w:val="24"/>
          <w:szCs w:val="24"/>
        </w:rPr>
      </w:pPr>
      <w:r w:rsidRPr="000F2811">
        <w:rPr>
          <w:rFonts w:ascii="Arial" w:hAnsi="Arial" w:cs="Arial"/>
          <w:sz w:val="24"/>
          <w:szCs w:val="24"/>
        </w:rPr>
        <w:t>Bei Vorliegen von multiplen Hirnmetastasen besteht nur bei „symptomatischen“ Metastasen die Indikation zur operativen Resektion</w:t>
      </w:r>
      <w:r w:rsidR="00B23D82" w:rsidRPr="000F2811">
        <w:rPr>
          <w:rFonts w:ascii="Arial" w:hAnsi="Arial" w:cs="Arial"/>
          <w:sz w:val="24"/>
          <w:szCs w:val="24"/>
        </w:rPr>
        <w:t xml:space="preserve"> einzelner Tumoren</w:t>
      </w:r>
      <w:r w:rsidRPr="000F2811">
        <w:rPr>
          <w:rFonts w:ascii="Arial" w:hAnsi="Arial" w:cs="Arial"/>
          <w:sz w:val="24"/>
          <w:szCs w:val="24"/>
        </w:rPr>
        <w:t xml:space="preserve">. In Abhängigkeit </w:t>
      </w:r>
      <w:r w:rsidR="00B23D82" w:rsidRPr="000F2811">
        <w:rPr>
          <w:rFonts w:ascii="Arial" w:hAnsi="Arial" w:cs="Arial"/>
          <w:sz w:val="24"/>
          <w:szCs w:val="24"/>
        </w:rPr>
        <w:t>von</w:t>
      </w:r>
      <w:r w:rsidRPr="000F2811">
        <w:rPr>
          <w:rFonts w:ascii="Arial" w:hAnsi="Arial" w:cs="Arial"/>
          <w:sz w:val="24"/>
          <w:szCs w:val="24"/>
        </w:rPr>
        <w:t xml:space="preserve"> </w:t>
      </w:r>
      <w:r w:rsidR="00B23D82" w:rsidRPr="000F2811">
        <w:rPr>
          <w:rFonts w:ascii="Arial" w:hAnsi="Arial" w:cs="Arial"/>
          <w:sz w:val="24"/>
          <w:szCs w:val="24"/>
        </w:rPr>
        <w:t xml:space="preserve">den </w:t>
      </w:r>
      <w:r w:rsidRPr="000F2811">
        <w:rPr>
          <w:rFonts w:ascii="Arial" w:hAnsi="Arial" w:cs="Arial"/>
          <w:sz w:val="24"/>
          <w:szCs w:val="24"/>
        </w:rPr>
        <w:t xml:space="preserve">prognostischen Faktoren, werden ansonsten </w:t>
      </w:r>
      <w:r w:rsidR="00B23D82" w:rsidRPr="000F2811">
        <w:rPr>
          <w:rFonts w:ascii="Arial" w:hAnsi="Arial" w:cs="Arial"/>
          <w:sz w:val="24"/>
          <w:szCs w:val="24"/>
        </w:rPr>
        <w:t xml:space="preserve">eine WBRT </w:t>
      </w:r>
      <w:r w:rsidRPr="000F2811">
        <w:rPr>
          <w:rFonts w:ascii="Arial" w:hAnsi="Arial" w:cs="Arial"/>
          <w:sz w:val="24"/>
          <w:szCs w:val="24"/>
        </w:rPr>
        <w:t xml:space="preserve">oder SRS durchgeführt. Bei der </w:t>
      </w:r>
      <w:r w:rsidR="00B23D82" w:rsidRPr="000F2811">
        <w:rPr>
          <w:rFonts w:ascii="Arial" w:hAnsi="Arial" w:cs="Arial"/>
          <w:sz w:val="24"/>
          <w:szCs w:val="24"/>
        </w:rPr>
        <w:t>WBRT</w:t>
      </w:r>
      <w:r w:rsidRPr="000F2811">
        <w:rPr>
          <w:rFonts w:ascii="Arial" w:hAnsi="Arial" w:cs="Arial"/>
          <w:sz w:val="24"/>
          <w:szCs w:val="24"/>
        </w:rPr>
        <w:t xml:space="preserve"> umfasst das Bestrahlungsvolumen das gesamte Gehirn, unter Einschluss des Ventrikel Systems und der Schädelbasis. Zu den gängigsten Dosierungsschemata gehören 30-37,5 Gy Gesamtdosis in 2,5-3 Gy Einzeldosis. In hoch palliativen Situation bei Patienten mit einem Karnofsky Index ≤ 70, können auch deutlich hypofraktionierte Bestrahlungskonzepte mit z.B. 5 x 4 Gy indiziert sein.   </w:t>
      </w:r>
    </w:p>
    <w:p w14:paraId="151750F7" w14:textId="6D742D84" w:rsidR="004123AC" w:rsidRPr="000F2811" w:rsidRDefault="00B23D82" w:rsidP="002D6BC8">
      <w:pPr>
        <w:spacing w:line="360" w:lineRule="auto"/>
        <w:jc w:val="both"/>
        <w:rPr>
          <w:rFonts w:ascii="Arial" w:hAnsi="Arial" w:cs="Arial"/>
          <w:sz w:val="24"/>
          <w:szCs w:val="24"/>
        </w:rPr>
      </w:pPr>
      <w:r w:rsidRPr="000F2811">
        <w:rPr>
          <w:rFonts w:ascii="Arial" w:hAnsi="Arial" w:cs="Arial"/>
          <w:sz w:val="24"/>
          <w:szCs w:val="24"/>
        </w:rPr>
        <w:t>Nach Hinweisen auf einem</w:t>
      </w:r>
      <w:r w:rsidR="004123AC" w:rsidRPr="000F2811">
        <w:rPr>
          <w:rFonts w:ascii="Arial" w:hAnsi="Arial" w:cs="Arial"/>
          <w:sz w:val="24"/>
          <w:szCs w:val="24"/>
        </w:rPr>
        <w:t xml:space="preserve"> </w:t>
      </w:r>
      <w:r w:rsidRPr="000F2811">
        <w:rPr>
          <w:rFonts w:ascii="Arial" w:hAnsi="Arial" w:cs="Arial"/>
          <w:sz w:val="24"/>
          <w:szCs w:val="24"/>
        </w:rPr>
        <w:t>günstigen</w:t>
      </w:r>
      <w:r w:rsidR="004123AC" w:rsidRPr="000F2811">
        <w:rPr>
          <w:rFonts w:ascii="Arial" w:hAnsi="Arial" w:cs="Arial"/>
          <w:sz w:val="24"/>
          <w:szCs w:val="24"/>
        </w:rPr>
        <w:t xml:space="preserve"> Effekt einer Hippocampus-Schonung auf neurokognitive Funktionseinschränkungen, wird diese Fragestellung aktuell in randomisierten Studien geprüft.</w:t>
      </w:r>
      <w:r w:rsidR="000C74FE">
        <w:rPr>
          <w:rFonts w:ascii="Arial" w:hAnsi="Arial" w:cs="Arial"/>
          <w:sz w:val="24"/>
          <w:szCs w:val="24"/>
        </w:rPr>
        <w:fldChar w:fldCharType="begin" w:fldLock="1"/>
      </w:r>
      <w:r w:rsidR="004B408B">
        <w:rPr>
          <w:rFonts w:ascii="Arial" w:hAnsi="Arial" w:cs="Arial"/>
          <w:sz w:val="24"/>
          <w:szCs w:val="24"/>
        </w:rPr>
        <w:instrText>ADDIN CSL_CITATION {"citationItems":[{"id":"ITEM-1","itemData":{"DOI":"10.1200/JCO.2014.57.2909","ISSN":"15277755","PMID":"25349290","abstract":"Purpose: Hippocampal neural stem-cell injury during whole-brain radiotherapy (WBRT) may play a role in memory decline. Intensity-modulated radiotherapy can be used to avoid conformally the hippocampal neural stem-cell compartment during WBRT (HA-WBRT). RTOG 0933 was a single-arm phase II study of HA-WBRT for brain metastases with prespecified comparison with a historical control of patients treated with WBRT without hippocampal avoidance. Patients and Methods: Eligible adult patients with brain metastases received HA-WBRT to 30 Gy in 10 fractions. Standardized cognitive function and quality-of-life (QOL) assessments were performed at baseline and 2, 4, and 6 months. The primary end point was the Hopkins Verbal Learning Test-Revised Delayed Recall (HVLT-R DR) at 4 months. The historical control demonstrated a 30% mean relative decline in HVLT-R DR from baseline to 4 months. To detect a mean relative decline ≤ 15% in HVLT-R DR after HA-WBRT, 51 analyzable patients were required to ensure 80% statistical power with α = 0.05. Results: Of 113 patients accrued from March 2011 through November 2012, 42 patients were analyzable at 4 months. Mean relative decline in HVLT-R DR from baseline to 4 months was 7.0% (95% CI, -4.7% to 18.7%), significantly lower in comparison with the historical control (P &lt; .001). No decline in QOL scores was observed. Two grade 3 toxicities and no grade 4 to 5 toxicities were reported. Median survival was 6.8 months. Conclusion: Conformal avoidance of the hippocampus during WBRT is associated with preservation of memory and QOL as compared with historical series.","author":[{"dropping-particle":"","family":"Gondi","given":"Vinai","non-dropping-particle":"","parse-names":false,"suffix":""},{"dropping-particle":"","family":"Pugh","given":"Stephanie L.","non-dropping-particle":"","parse-names":false,"suffix":""},{"dropping-particle":"","family":"Tome","given":"Wolfgang A.","non-dropping-particle":"","parse-names":false,"suffix":""},{"dropping-particle":"","family":"Caine","given":"Chip","non-dropping-particle":"","parse-names":false,"suffix":""},{"dropping-particle":"","family":"Corn","given":"Ben","non-dropping-particle":"","parse-names":false,"suffix":""},{"dropping-particle":"","family":"Kanner","given":"Andrew","non-dropping-particle":"","parse-names":false,"suffix":""},{"dropping-particle":"","family":"Rowley","given":"Howard","non-dropping-particle":"","parse-names":false,"suffix":""},{"dropping-particle":"","family":"Kundapur","given":"Vijayananda","non-dropping-particle":"","parse-names":false,"suffix":""},{"dropping-particle":"","family":"DeNittis","given":"Albert","non-dropping-particle":"","parse-names":false,"suffix":""},{"dropping-particle":"","family":"Greenspoon","given":"Jeffrey N.","non-dropping-particle":"","parse-names":false,"suffix":""},{"dropping-particle":"","family":"Konski","given":"Andre A.","non-dropping-particle":"","parse-names":false,"suffix":""},{"dropping-particle":"","family":"Bauman","given":"Glenn S.","non-dropping-particle":"","parse-names":false,"suffix":""},{"dropping-particle":"","family":"Shah","given":"Sunjay","non-dropping-particle":"","parse-names":false,"suffix":""},{"dropping-particle":"","family":"Shi","given":"Wenyin","non-dropping-particle":"","parse-names":false,"suffix":""},{"dropping-particle":"","family":"Wendland","given":"Merideth","non-dropping-particle":"","parse-names":false,"suffix":""},{"dropping-particle":"","family":"Kachnic","given":"Lisa","non-dropping-particle":"","parse-names":false,"suffix":""},{"dropping-particle":"","family":"Mehta","given":"Minesh P.","non-dropping-particle":"","parse-names":false,"suffix":""}],"container-title":"Journal of Clinical Oncology","id":"ITEM-1","issue":"34","issued":{"date-parts":[["2014","12","1"]]},"page":"3810-3816","publisher":"American Society of Clinical Oncology","title":"Preservation of memory with conformal avoidance of the hippocampal neural stem-cell compartment during whole-brain radiotherapy for brain metastases (RTOG 0933): A phase II multi-institutional trial","type":"article-journal","volume":"32"},"uris":["http://www.mendeley.com/documents/?uuid=e0d7ef7c-7134-3c48-9318-9d3542bdcf54"]},{"id":"ITEM-2","itemData":{"DOI":"10.1186/s12885-020-07011-z","ISSN":"14712407","PMID":"32513138","abstract":"Background: Whole brain radiation therapy (WBRT) is the standard therapy for multiple brain metastases. However, WBRT has a poor local tumor control and is associated with a decline in neurocognitive function (NCF). Aim of this trial is to assess the efficacy and safety of a new treatment method, the WBRT with hippocampus avoidance (HA) combined with the simultaneous integrated boost (SIB) on metastases/resection cavities (HA-WBRT+SIB). Methods: This is a prospective, randomized, two-arm phase II multicenter trial comparing the impact of HA on NCF after HA-WBRT+SIB versus WBRT+SIB in patients with multiple brain metastases. The study design is double-blinded. One hundred thirty two patients are to be randomized with a 1:1 allocation ratio. Patients between 18 and 80 years old are recruited, with at least 4 brain metastases of solid tumors and at least one, but not exceeding 10 metastases ≥5 mm. Patients must be in good physical condition and have no metastases/resection cavities in or within 7 mm of the hippocampus. Patients with dementia, meningeal disease, cerebral lymphomas, germ cell tumors, or small cell carcinomas are excluded. Previous irradiation and resection of metastases, as well as the number and size of metastases to be boosted have to comply with certain restrictions. Patients are randomized between the two treatment arms: HA-WBRT+SIB and WBRT+SIB. WBRT is to be performed with 30 Gy in 12 daily fractions and the SIB with 51 Gy/42 Gy in 12 daily fractions on 95% of volume for metastases/resection cavities. In the experimental arm, the dose to the hippocampi is restricted to 9 Gy in 98% of the volume and 17Gy in 2% of the volume. NCF testing is scheduled before WBRT, after 3 (primary endpoint), 9, 18 months and yearly thereafter. Clinical and imaging follow-ups are performed 6 and 12 weeks after WBRT, after 3, 9, 18 months and yearly thereafter. Discussion: This is a protocol of a randomized phase II trial designed to test a new strategy of WBRT for preventing cognitive decline and increasing tumor control in patients with multiple brain metastases. Trial registration: The HIPPORAD trial is registered with the German Clinical Trials Registry (DRKS00004598, registered 2 June 2016).","author":[{"dropping-particle":"","family":"Grosu","given":"Anca Ligia","non-dropping-particle":"","parse-names":false,"suffix":""},{"dropping-particle":"","family":"Grosu","given":"Anca Ligia","non-dropping-particle":"","parse-names":false,"suffix":""},{"dropping-particle":"","family":"Frings","given":"Lars","non-dropping-particle":"","parse-names":false,"suffix":""},{"dropping-particle":"","family":"Frings","given":"Lars","non-dropping-particle":"","parse-names":false,"suffix":""},{"dropping-particle":"","family":"Bentsalo","given":"Iryna","non-dropping-particle":"","parse-names":false,"suffix":""},{"dropping-particle":"","family":"Oehlke","given":"Oliver","non-dropping-particle":"","parse-names":false,"suffix":""},{"dropping-particle":"","family":"Oehlke","given":"Oliver","non-dropping-particle":"","parse-names":false,"suffix":""},{"dropping-particle":"","family":"Brenner","given":"Franziska","non-dropping-particle":"","parse-names":false,"suffix":""},{"dropping-particle":"","family":"Brenner","given":"Franziska","non-dropping-particle":"","parse-names":false,"suffix":""},{"dropping-particle":"","family":"Bilger","given":"Angelika","non-dropping-particle":"","parse-names":false,"suffix":""},{"dropping-particle":"","family":"Fennell","given":"Jamina Tara","non-dropping-particle":"","parse-names":false,"suffix":""},{"dropping-particle":"","family":"Rothe","given":"Thomas","non-dropping-particle":"","parse-names":false,"suffix":""},{"dropping-particle":"","family":"Schneider-Fuchs","given":"Sabine","non-dropping-particle":"","parse-names":false,"suffix":""},{"dropping-particle":"","family":"Graf","given":"Erika","non-dropping-particle":"","parse-names":false,"suffix":""},{"dropping-particle":"","family":"Schmoor","given":"Claudia","non-dropping-particle":"","parse-names":false,"suffix":""},{"dropping-particle":"","family":"Beck","given":"Jürgen","non-dropping-particle":"","parse-names":false,"suffix":""},{"dropping-particle":"","family":"Becker","given":"Gerhild","non-dropping-particle":"","parse-names":false,"suffix":""},{"dropping-particle":"","family":"Bock","given":"Michael","non-dropping-particle":"","parse-names":false,"suffix":""},{"dropping-particle":"","family":"Bock","given":"Michael","non-dropping-particle":"","parse-names":false,"suffix":""},{"dropping-particle":"","family":"Egger","given":"Karl","non-dropping-particle":"","parse-names":false,"suffix":""},{"dropping-particle":"","family":"Urbach","given":"Horst","non-dropping-particle":"","parse-names":false,"suffix":""},{"dropping-particle":"","family":"Lahmann","given":"Claas","non-dropping-particle":"","parse-names":false,"suffix":""},{"dropping-particle":"","family":"Popp","given":"Ilinca","non-dropping-particle":"","parse-names":false,"suffix":""}],"container-title":"BMC Cancer","id":"ITEM-2","issue":"1","issued":{"date-parts":[["2020","6","8"]]},"publisher":"BioMed Central Ltd.","title":"Whole-brain irradiation with hippocampal sparing and dose escalation on metastases: Neurocognitive testing and biological imaging (HIPPORAD) - A phase II prospective randomized multicenter trial (NOA-14, ARO 2015-3, DKTK-ROG)","type":"article","volume":"20"},"uris":["http://www.mendeley.com/documents/?uuid=da170871-d9fd-30cf-a3e6-de9ea67db825"]}],"mendeley":{"formattedCitation":"&lt;sup&gt;27,28&lt;/sup&gt;","plainTextFormattedCitation":"27,28","previouslyFormattedCitation":"&lt;sup&gt;27,28&lt;/sup&gt;"},"properties":{"noteIndex":0},"schema":"https://github.com/citation-style-language/schema/raw/master/csl-citation.json"}</w:instrText>
      </w:r>
      <w:r w:rsidR="000C74FE">
        <w:rPr>
          <w:rFonts w:ascii="Arial" w:hAnsi="Arial" w:cs="Arial"/>
          <w:sz w:val="24"/>
          <w:szCs w:val="24"/>
        </w:rPr>
        <w:fldChar w:fldCharType="separate"/>
      </w:r>
      <w:r w:rsidR="004B408B" w:rsidRPr="004B408B">
        <w:rPr>
          <w:rFonts w:ascii="Arial" w:hAnsi="Arial" w:cs="Arial"/>
          <w:noProof/>
          <w:sz w:val="24"/>
          <w:szCs w:val="24"/>
          <w:vertAlign w:val="superscript"/>
        </w:rPr>
        <w:t>27,28</w:t>
      </w:r>
      <w:r w:rsidR="000C74FE">
        <w:rPr>
          <w:rFonts w:ascii="Arial" w:hAnsi="Arial" w:cs="Arial"/>
          <w:sz w:val="24"/>
          <w:szCs w:val="24"/>
        </w:rPr>
        <w:fldChar w:fldCharType="end"/>
      </w:r>
    </w:p>
    <w:p w14:paraId="3A89D2AC" w14:textId="4B821418" w:rsidR="004123AC" w:rsidRPr="00450B64" w:rsidRDefault="00B23D82" w:rsidP="002D6BC8">
      <w:pPr>
        <w:spacing w:line="360" w:lineRule="auto"/>
        <w:jc w:val="both"/>
        <w:rPr>
          <w:rFonts w:ascii="Arial" w:hAnsi="Arial" w:cs="Arial"/>
          <w:sz w:val="24"/>
          <w:szCs w:val="24"/>
        </w:rPr>
      </w:pPr>
      <w:r w:rsidRPr="000F2811">
        <w:rPr>
          <w:rFonts w:ascii="Arial" w:hAnsi="Arial" w:cs="Arial"/>
          <w:sz w:val="24"/>
          <w:szCs w:val="24"/>
        </w:rPr>
        <w:t>B</w:t>
      </w:r>
      <w:r w:rsidR="004123AC" w:rsidRPr="000F2811">
        <w:rPr>
          <w:rFonts w:ascii="Arial" w:hAnsi="Arial" w:cs="Arial"/>
          <w:sz w:val="24"/>
          <w:szCs w:val="24"/>
        </w:rPr>
        <w:t xml:space="preserve">is heute </w:t>
      </w:r>
      <w:r w:rsidRPr="000F2811">
        <w:rPr>
          <w:rFonts w:ascii="Arial" w:hAnsi="Arial" w:cs="Arial"/>
          <w:sz w:val="24"/>
          <w:szCs w:val="24"/>
        </w:rPr>
        <w:t>ist ungeklärt</w:t>
      </w:r>
      <w:r w:rsidR="004123AC" w:rsidRPr="000F2811">
        <w:rPr>
          <w:rFonts w:ascii="Arial" w:hAnsi="Arial" w:cs="Arial"/>
          <w:sz w:val="24"/>
          <w:szCs w:val="24"/>
        </w:rPr>
        <w:t xml:space="preserve">, ab welcher Metastasen-Anzahl eine </w:t>
      </w:r>
      <w:r w:rsidRPr="000F2811">
        <w:rPr>
          <w:rFonts w:ascii="Arial" w:hAnsi="Arial" w:cs="Arial"/>
          <w:sz w:val="24"/>
          <w:szCs w:val="24"/>
        </w:rPr>
        <w:t>WBRT</w:t>
      </w:r>
      <w:r w:rsidR="004123AC" w:rsidRPr="000F2811">
        <w:rPr>
          <w:rFonts w:ascii="Arial" w:hAnsi="Arial" w:cs="Arial"/>
          <w:sz w:val="24"/>
          <w:szCs w:val="24"/>
        </w:rPr>
        <w:t xml:space="preserve"> oder eine SRS durchgeführt werden kann. Die Deutsche Gesellschaft für Radioonkologie (DEGRO) empfiehlt </w:t>
      </w:r>
      <w:r w:rsidR="004123AC" w:rsidRPr="000F2811">
        <w:rPr>
          <w:rFonts w:ascii="Arial" w:hAnsi="Arial" w:cs="Arial"/>
          <w:sz w:val="24"/>
          <w:szCs w:val="24"/>
        </w:rPr>
        <w:lastRenderedPageBreak/>
        <w:t xml:space="preserve">den Einsatz der SRS bei Patienten mit singulären Hirnmetastasen solider Tumore, mit Ausnahme von </w:t>
      </w:r>
      <w:r w:rsidR="001E604D">
        <w:rPr>
          <w:rFonts w:ascii="Arial" w:hAnsi="Arial" w:cs="Arial"/>
          <w:sz w:val="24"/>
          <w:szCs w:val="24"/>
        </w:rPr>
        <w:t>k</w:t>
      </w:r>
      <w:r w:rsidR="001E604D" w:rsidRPr="000F2811">
        <w:rPr>
          <w:rFonts w:ascii="Arial" w:hAnsi="Arial" w:cs="Arial"/>
          <w:sz w:val="24"/>
          <w:szCs w:val="24"/>
        </w:rPr>
        <w:t xml:space="preserve">leinzelligen </w:t>
      </w:r>
      <w:r w:rsidR="004123AC" w:rsidRPr="000F2811">
        <w:rPr>
          <w:rFonts w:ascii="Arial" w:hAnsi="Arial" w:cs="Arial"/>
          <w:sz w:val="24"/>
          <w:szCs w:val="24"/>
        </w:rPr>
        <w:t>Bronchialkarzinomen und Keimzelltumoren, mit einem Durchmesser &lt; 3 cm und einer Lebenserwartung &gt; 3 Monate und bei 2–4 Metastasen mit Durchmessern von &lt; 2,5 cm</w:t>
      </w:r>
      <w:r w:rsidR="000C74FE">
        <w:rPr>
          <w:rFonts w:ascii="Arial" w:hAnsi="Arial" w:cs="Arial"/>
          <w:sz w:val="24"/>
          <w:szCs w:val="24"/>
        </w:rPr>
        <w:t>.</w:t>
      </w:r>
      <w:r w:rsidR="000C74FE">
        <w:rPr>
          <w:rFonts w:ascii="Arial" w:hAnsi="Arial" w:cs="Arial"/>
          <w:sz w:val="24"/>
          <w:szCs w:val="24"/>
        </w:rPr>
        <w:fldChar w:fldCharType="begin" w:fldLock="1"/>
      </w:r>
      <w:r w:rsidR="004B408B">
        <w:rPr>
          <w:rFonts w:ascii="Arial" w:hAnsi="Arial" w:cs="Arial"/>
          <w:sz w:val="24"/>
          <w:szCs w:val="24"/>
        </w:rPr>
        <w:instrText>ADDIN CSL_CITATION {"citationItems":[{"id":"ITEM-1","itemData":{"DOI":"10.1007/s00066-014-0648-7","ISSN":"1439099X","PMID":"24715242","abstract":"Background: This report from the Working Group on Stereotaktische Radiotherapie of the German Society of Radiation Oncology (Deutsche Gesellschaft für Radioonkologie, DEGRO) provides recommendations for the use of stereotactic radiosurgery (SRS) on patients with brain metastases. It considers existing international guidelines and details them where appropriate. Results and discussion: The main recommendations are: Patients with solid tumors except germ cell tumors and small-cell lung cancer with a life expectancy of more than 3 months suffering from a single brain metastasis of less than 3 cm in diameter should be considered for SRS. Especially when metastases are not amenable to surgery, are located in the brain stem, and have no mass effect, SRS should be offered to the patient. For multiple (two to four) metastases-all less than 2.5 cm in diameter-in patients with a life expectancy of more than 3 months, SRS should be used rather than whole-brain radiotherapy (WBRT). Adjuvant WBRT after SRS for both single and multiple (two to four) metastases increases local control and reduces the frequency of distant brain metastases, but does not prolong survival when compared with SRS and salvage treatment. As WBRT carries the risk of inducing neurocognitive damage, it seems reasonable to withhold WBRT for as long as possible. Conclusion: A single (marginal) dose of 20 Gy is a reasonable choice that balances the effect on the treated lesion (local control, partial remission) against the risk of late side effects (radionecrosis). Higher doses (22-25 Gy) may be used for smaller (&lt;</w:instrText>
      </w:r>
      <w:r w:rsidR="004B408B">
        <w:rPr>
          <w:rFonts w:ascii="Cambria Math" w:hAnsi="Cambria Math" w:cs="Cambria Math"/>
          <w:sz w:val="24"/>
          <w:szCs w:val="24"/>
        </w:rPr>
        <w:instrText>∈</w:instrText>
      </w:r>
      <w:r w:rsidR="004B408B">
        <w:rPr>
          <w:rFonts w:ascii="Arial" w:hAnsi="Arial" w:cs="Arial"/>
          <w:sz w:val="24"/>
          <w:szCs w:val="24"/>
        </w:rPr>
        <w:instrText>1 cm) lesions, while a dose reduction to 18 Gy may be necessary for lesions greater than 2.5-3 cm. As the infiltration zone of the brain metastases is usually small, the GTV-CTV (gross tumor volume-clinical target volume) margin should be in the range of 0-1 mm. The CTV-PTV (planning target volume) margin depends on the treatment technique and should lie in the range of 0-2 mm. Distant brain recurrences fulfilling the aforementioned criteria can be treated with SRS irrespective of previous WBRT. © 2014 Springer-Verlag Berlin Heidelberg.","author":[{"dropping-particle":"","family":"Kocher","given":"Martin","non-dropping-particle":"","parse-names":false,"suffix":""},{"dropping-particle":"","family":"Wittig","given":"Andrea","non-dropping-particle":"","parse-names":false,"suffix":""},{"dropping-particle":"","family":"Piroth","given":"Marc Dieter","non-dropping-particle":"","parse-names":false,"suffix":""},{"dropping-particle":"","family":"Treuer","given":"Harald","non-dropping-particle":"","parse-names":false,"suffix":""},{"dropping-particle":"","family":"Seegenschmiedt","given":"Heinrich","non-dropping-particle":"","parse-names":false,"suffix":""},{"dropping-particle":"","family":"Ruge","given":"Maximilian","non-dropping-particle":"","parse-names":false,"suffix":""},{"dropping-particle":"","family":"Grosu","given":"Aca Ligia","non-dropping-particle":"","parse-names":false,"suffix":""},{"dropping-particle":"","family":"Guckenberger","given":"Matthias","non-dropping-particle":"","parse-names":false,"suffix":""}],"container-title":"Strahlentherapie und Onkologie","id":"ITEM-1","issue":"6","issued":{"date-parts":[["2014"]]},"page":"521-532","publisher":"Urban und Vogel GmbH","title":"Stereotactic radiosurgery for treatment of brain metastases: A report of the DEGRO Working Group on Stereotactic Radiotherapy","type":"article-journal","volume":"190"},"uris":["http://www.mendeley.com/documents/?uuid=2d23dc10-a130-3eac-b23c-789e7213f589"]}],"mendeley":{"formattedCitation":"&lt;sup&gt;29&lt;/sup&gt;","plainTextFormattedCitation":"29","previouslyFormattedCitation":"&lt;sup&gt;29&lt;/sup&gt;"},"properties":{"noteIndex":0},"schema":"https://github.com/citation-style-language/schema/raw/master/csl-citation.json"}</w:instrText>
      </w:r>
      <w:r w:rsidR="000C74FE">
        <w:rPr>
          <w:rFonts w:ascii="Arial" w:hAnsi="Arial" w:cs="Arial"/>
          <w:sz w:val="24"/>
          <w:szCs w:val="24"/>
        </w:rPr>
        <w:fldChar w:fldCharType="separate"/>
      </w:r>
      <w:r w:rsidR="004B408B" w:rsidRPr="004B408B">
        <w:rPr>
          <w:rFonts w:ascii="Arial" w:hAnsi="Arial" w:cs="Arial"/>
          <w:noProof/>
          <w:sz w:val="24"/>
          <w:szCs w:val="24"/>
          <w:vertAlign w:val="superscript"/>
        </w:rPr>
        <w:t>29</w:t>
      </w:r>
      <w:r w:rsidR="000C74FE">
        <w:rPr>
          <w:rFonts w:ascii="Arial" w:hAnsi="Arial" w:cs="Arial"/>
          <w:sz w:val="24"/>
          <w:szCs w:val="24"/>
        </w:rPr>
        <w:fldChar w:fldCharType="end"/>
      </w:r>
      <w:r w:rsidR="004123AC" w:rsidRPr="000F2811">
        <w:rPr>
          <w:rFonts w:ascii="Arial" w:hAnsi="Arial" w:cs="Arial"/>
          <w:sz w:val="24"/>
          <w:szCs w:val="24"/>
        </w:rPr>
        <w:t xml:space="preserve"> Hieraus lässt sich im Umkehrschluss jedoch keine Indikation für die Ganzhirn-RT ableiten.  Yamamoto et al. zeigten, dass für Patienten in gutem Allgemeinzustand und kontrollierter extrakranieller Tumormanifestation kein Unterschied in Bezug auf das Gesamtüberleben zwischen 2–4 und 5–10 radiochirurgisch behandelten Metastasen besteht.</w:t>
      </w:r>
      <w:r w:rsidR="000C74FE">
        <w:rPr>
          <w:rFonts w:ascii="Arial" w:hAnsi="Arial" w:cs="Arial"/>
          <w:sz w:val="24"/>
          <w:szCs w:val="24"/>
        </w:rPr>
        <w:fldChar w:fldCharType="begin" w:fldLock="1"/>
      </w:r>
      <w:r w:rsidR="004B408B">
        <w:rPr>
          <w:rFonts w:ascii="Arial" w:hAnsi="Arial" w:cs="Arial"/>
          <w:sz w:val="24"/>
          <w:szCs w:val="24"/>
        </w:rPr>
        <w:instrText>ADDIN CSL_CITATION {"citationItems":[{"id":"ITEM-1","itemData":{"DOI":"10.1016/S1470-2045(14)70061-0","ISSN":"14702045","PMID":"24621620","abstract":"BACKGROUND We aimed to examine whether stereotactic radiosurgery without whole-brain radiotherapy (WBRT) as the initial treatment for patients with five to ten brain metastases is non-inferior to that for patients with two to four brain metastases in terms of overall survival. METHODS This prospective observational study enrolled patients with one to ten newly diagnosed brain metastases (largest tumour &lt;10 mL in volume and &lt;3 cm in longest diameter; total cumulative volume ≤15 mL) and a Karnofsky performance status score of 70 or higher from 23 facilities in Japan. Standard stereotactic radiosurgery procedures were used in all patients; tumour volumes smaller than 4 mL were irradiated with 22 Gy at the lesion periphery and those that were 4-10 mL with 20 Gy. The primary endpoint was overall survival, for which the non-inferiority margin for the comparison of outcomes in patients with two to four brain metastases with those of patients with five to ten brain metastases was set as the value of the upper 95% CI for a hazard ratio (HR) of 1·30, and all data were analysed by intention to treat. The study was finalised on Dec 31, 2012, for analysis of the primary endpoint; however, monitoring of stereotactic radiosurgery-induced complications and neurocognitive function assessment will continue for the censored subset until the end of 2014. This study is registered with the University Medical Information Network Clinical Trial Registry, number 000001812. FINDINGS We enrolled 1194 eligible patients between March 1, 2009, and Feb 15, 2012. Median overall survival after stereotactic radiosurgery was 13·9 months [95% CI 12·0-15·6] in the 455 patients with one tumour, 10·8 months [9·4-12·4] in the 531 patients with two to four tumours, and 10·8 months [9·1-12·7] in the 208 patients with five to ten tumours. Overall survival did not differ between the patients with two to four tumours and those with five to ten (HR 0·97, 95% CI 0·81-1·18 [less than non-inferiority margin], p=0·78; pnon-inferiority&lt;0·0001). Stereotactic radiosurgery-induced adverse events occurred in 101 (8%) patients; nine (2%) patients with one tumour had one or more grade 3-4 event compared with 13 (2%) patients with two to four tumours and six (3%) patients with five to ten tumours. The proportion of patients who had one or more treatment-related adverse event of any grade did not differ significantly between the two groups of patients with multiple tumours (50 [9%] patients with two to four tum…","author":[{"dropping-particle":"","family":"Yamamoto","given":"Masaaki","non-dropping-particle":"","parse-names":false,"suffix":""},{"dropping-particle":"","family":"Serizawa","given":"Toru","non-dropping-particle":"","parse-names":false,"suffix":""},{"dropping-particle":"","family":"Shuto","given":"Takashi","non-dropping-particle":"","parse-names":false,"suffix":""},{"dropping-particle":"","family":"Akabane","given":"Atsuya","non-dropping-particle":"","parse-names":false,"suffix":""},{"dropping-particle":"","family":"Higuchi","given":"Yoshinori","non-dropping-particle":"","parse-names":false,"suffix":""},{"dropping-particle":"","family":"Kawagishi","given":"Jun","non-dropping-particle":"","parse-names":false,"suffix":""},{"dropping-particle":"","family":"Yamanaka","given":"Kazuhiro","non-dropping-particle":"","parse-names":false,"suffix":""},{"dropping-particle":"","family":"Sato","given":"Yasunori","non-dropping-particle":"","parse-names":false,"suffix":""},{"dropping-particle":"","family":"Jokura","given":"Hidefumi","non-dropping-particle":"","parse-names":false,"suffix":""},{"dropping-particle":"","family":"Yomo","given":"Shoji","non-dropping-particle":"","parse-names":false,"suffix":""},{"dropping-particle":"","family":"Nagano","given":"Osamu","non-dropping-particle":"","parse-names":false,"suffix":""},{"dropping-particle":"","family":"Kenai","given":"Hiroyuki","non-dropping-particle":"","parse-names":false,"suffix":""},{"dropping-particle":"","family":"Moriki","given":"Akihito","non-dropping-particle":"","parse-names":false,"suffix":""},{"dropping-particle":"","family":"Suzuki","given":"Satoshi","non-dropping-particle":"","parse-names":false,"suffix":""},{"dropping-particle":"","family":"Kida","given":"Yoshihisa","non-dropping-particle":"","parse-names":false,"suffix":""},{"dropping-particle":"","family":"Iwai","given":"Yoshiyasu","non-dropping-particle":"","parse-names":false,"suffix":""},{"dropping-particle":"","family":"Hayashi","given":"Motohiro","non-dropping-particle":"","parse-names":false,"suffix":""},{"dropping-particle":"","family":"Onishi","given":"Hiroaki","non-dropping-particle":"","parse-names":false,"suffix":""},{"dropping-particle":"","family":"Gondo","given":"Masazumi","non-dropping-particle":"","parse-names":false,"suffix":""},{"dropping-particle":"","family":"Sato","given":"Mitsuya","non-dropping-particle":"","parse-names":false,"suffix":""},{"dropping-particle":"","family":"Akimitsu","given":"Tomohide","non-dropping-particle":"","parse-names":false,"suffix":""},{"dropping-particle":"","family":"Kubo","given":"Kenji","non-dropping-particle":"","parse-names":false,"suffix":""},{"dropping-particle":"","family":"Kikuchi","given":"Yasuhiro","non-dropping-particle":"","parse-names":false,"suffix":""},{"dropping-particle":"","family":"Shibasaki","given":"Toru","non-dropping-particle":"","parse-names":false,"suffix":""},{"dropping-particle":"","family":"Goto","given":"Tomoaki","non-dropping-particle":"","parse-names":false,"suffix":""},{"dropping-particle":"","family":"Takanashi","given":"Masami","non-dropping-particle":"","parse-names":false,"suffix":"</w:instrText>
      </w:r>
      <w:r w:rsidR="004B408B" w:rsidRPr="00450B64">
        <w:rPr>
          <w:rFonts w:ascii="Arial" w:hAnsi="Arial" w:cs="Arial"/>
          <w:sz w:val="24"/>
          <w:szCs w:val="24"/>
        </w:rPr>
        <w:instrText>"},{"dropping-particle":"","family":"Mori","given":"Yoshimasa","non-dropping-particle":"","parse-names":false,"suffix":""},{"dropping-particle":"","family":"Takakura","given":"Kintomo","non-dropping-particle":"","parse-names":false,"suffix":""},{"dropping-particle":"","family":"Saeki","given":"Naokatsu","non-dropping-particle":"","parse-names":false,"suffix":""},{"dropping-particle":"","family":"Kunieda","given":"Etsuo","non-dropping-particle":"","parse-names":false,"suffix":""},{"dropping-particle":"","family":"Aoyama","given":"Hidefumi","non-dropping-particle":"","parse-names":false,"suffix":""},{"dropping-particle":"","family":"Momoshima","given":"Suketaka","non-dropping-particle":"","parse-names":false,"suffix":""},{"dropping-particle":"","family":"Tsuchiya","given":"Kazuhiro","non-dropping-particle":"","parse-names":false,"suffix":""}],"container-title":"The Lancet Oncology","id":"ITEM-1","issue":"4","issued":{"date-parts":[["2014","4"]]},"page":"387-395","title":"Stereotactic radiosurgery for patients with multiple brain metastases (JLGK0901): a multi-institutional prospective observational study","type":"article-journal","volume":"15"},"uris":["http://www.mendeley.com/documents/?uuid=2960d0a5-6296-3a53-8fc2-00a578a8ae48"]}],"mendeley":{"formattedCitation":"&lt;sup&gt;30&lt;/sup&gt;","plainTextFormattedCitation":"30","previouslyFormattedCitation":"&lt;sup&gt;30&lt;/sup&gt;"},"properties":{"noteIndex":0},"schema":"https://github.com/citation-style-language/schema/raw/master/csl-citation.json"}</w:instrText>
      </w:r>
      <w:r w:rsidR="000C74FE">
        <w:rPr>
          <w:rFonts w:ascii="Arial" w:hAnsi="Arial" w:cs="Arial"/>
          <w:sz w:val="24"/>
          <w:szCs w:val="24"/>
        </w:rPr>
        <w:fldChar w:fldCharType="separate"/>
      </w:r>
      <w:r w:rsidR="004B408B" w:rsidRPr="00450B64">
        <w:rPr>
          <w:rFonts w:ascii="Arial" w:hAnsi="Arial" w:cs="Arial"/>
          <w:noProof/>
          <w:sz w:val="24"/>
          <w:szCs w:val="24"/>
          <w:vertAlign w:val="superscript"/>
        </w:rPr>
        <w:t>30</w:t>
      </w:r>
      <w:r w:rsidR="000C74FE">
        <w:rPr>
          <w:rFonts w:ascii="Arial" w:hAnsi="Arial" w:cs="Arial"/>
          <w:sz w:val="24"/>
          <w:szCs w:val="24"/>
        </w:rPr>
        <w:fldChar w:fldCharType="end"/>
      </w:r>
    </w:p>
    <w:p w14:paraId="15B45FC3" w14:textId="77777777" w:rsidR="004123AC" w:rsidRPr="00450B64" w:rsidRDefault="004123AC" w:rsidP="002D6BC8">
      <w:pPr>
        <w:spacing w:line="360" w:lineRule="auto"/>
        <w:jc w:val="both"/>
        <w:rPr>
          <w:rFonts w:ascii="Arial" w:hAnsi="Arial" w:cs="Arial"/>
          <w:sz w:val="24"/>
          <w:szCs w:val="24"/>
        </w:rPr>
      </w:pPr>
    </w:p>
    <w:p w14:paraId="43CA76A9" w14:textId="77777777" w:rsidR="004123AC" w:rsidRPr="00450B64" w:rsidRDefault="004123AC" w:rsidP="002D6BC8">
      <w:pPr>
        <w:spacing w:line="360" w:lineRule="auto"/>
        <w:jc w:val="both"/>
        <w:rPr>
          <w:rFonts w:ascii="Arial" w:hAnsi="Arial" w:cs="Arial"/>
          <w:sz w:val="24"/>
          <w:szCs w:val="24"/>
        </w:rPr>
      </w:pPr>
    </w:p>
    <w:p w14:paraId="4936FB6C" w14:textId="77777777" w:rsidR="004123AC" w:rsidRPr="00450B64" w:rsidRDefault="004123AC" w:rsidP="002D6BC8">
      <w:pPr>
        <w:spacing w:line="360" w:lineRule="auto"/>
        <w:jc w:val="both"/>
        <w:rPr>
          <w:rFonts w:ascii="Arial" w:hAnsi="Arial" w:cs="Arial"/>
          <w:sz w:val="24"/>
          <w:szCs w:val="24"/>
        </w:rPr>
      </w:pPr>
    </w:p>
    <w:p w14:paraId="5D5849C1" w14:textId="77777777" w:rsidR="004123AC" w:rsidRPr="00450B64" w:rsidRDefault="004123AC" w:rsidP="002D6BC8">
      <w:pPr>
        <w:spacing w:line="360" w:lineRule="auto"/>
        <w:jc w:val="both"/>
        <w:rPr>
          <w:rFonts w:ascii="Arial" w:hAnsi="Arial" w:cs="Arial"/>
          <w:sz w:val="24"/>
          <w:szCs w:val="24"/>
        </w:rPr>
      </w:pPr>
    </w:p>
    <w:p w14:paraId="56EE2683" w14:textId="77777777" w:rsidR="004123AC" w:rsidRPr="00450B64" w:rsidRDefault="004123AC" w:rsidP="002D6BC8">
      <w:pPr>
        <w:pStyle w:val="Listenabsatz"/>
        <w:spacing w:line="360" w:lineRule="auto"/>
        <w:jc w:val="both"/>
        <w:rPr>
          <w:rFonts w:ascii="Arial" w:hAnsi="Arial" w:cs="Arial"/>
          <w:sz w:val="24"/>
          <w:szCs w:val="24"/>
        </w:rPr>
      </w:pPr>
    </w:p>
    <w:p w14:paraId="0948630F" w14:textId="77777777" w:rsidR="004123AC" w:rsidRPr="00450B64" w:rsidRDefault="004123AC" w:rsidP="002D6BC8">
      <w:pPr>
        <w:pStyle w:val="Listenabsatz"/>
        <w:spacing w:line="360" w:lineRule="auto"/>
        <w:jc w:val="both"/>
        <w:rPr>
          <w:rFonts w:ascii="Arial" w:hAnsi="Arial" w:cs="Arial"/>
          <w:sz w:val="24"/>
          <w:szCs w:val="24"/>
        </w:rPr>
      </w:pPr>
    </w:p>
    <w:p w14:paraId="390CE667" w14:textId="77777777" w:rsidR="004123AC" w:rsidRPr="00450B64" w:rsidRDefault="004123AC" w:rsidP="002D6BC8">
      <w:pPr>
        <w:pStyle w:val="Listenabsatz"/>
        <w:spacing w:line="360" w:lineRule="auto"/>
        <w:jc w:val="both"/>
        <w:rPr>
          <w:rFonts w:ascii="Arial" w:hAnsi="Arial" w:cs="Arial"/>
          <w:sz w:val="24"/>
          <w:szCs w:val="24"/>
        </w:rPr>
      </w:pPr>
    </w:p>
    <w:p w14:paraId="2C82DFED" w14:textId="77777777" w:rsidR="002E5E5B" w:rsidRPr="00450B64" w:rsidRDefault="002E5E5B">
      <w:pPr>
        <w:spacing w:after="160" w:line="259" w:lineRule="auto"/>
        <w:rPr>
          <w:rFonts w:ascii="Arial" w:eastAsia="Times New Roman" w:hAnsi="Arial" w:cs="Arial"/>
          <w:b/>
          <w:color w:val="000000"/>
          <w:sz w:val="24"/>
          <w:szCs w:val="24"/>
          <w:lang w:eastAsia="de-AT"/>
        </w:rPr>
      </w:pPr>
      <w:r w:rsidRPr="00450B64">
        <w:rPr>
          <w:rFonts w:eastAsia="Times New Roman"/>
          <w:b/>
          <w:color w:val="000000"/>
          <w:lang w:eastAsia="de-AT"/>
        </w:rPr>
        <w:br w:type="page"/>
      </w:r>
    </w:p>
    <w:p w14:paraId="70B309FC" w14:textId="77777777" w:rsidR="001E604D" w:rsidRPr="00450B64" w:rsidRDefault="00205305" w:rsidP="001F721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eastAsia="Times New Roman"/>
          <w:b/>
          <w:color w:val="000000"/>
          <w:lang w:val="de-DE" w:eastAsia="de-AT"/>
        </w:rPr>
      </w:pPr>
      <w:r w:rsidRPr="00450B64">
        <w:rPr>
          <w:rFonts w:eastAsia="Times New Roman"/>
          <w:b/>
          <w:color w:val="000000"/>
          <w:lang w:val="de-DE" w:eastAsia="de-AT"/>
        </w:rPr>
        <w:t>Medikamentöse Therapie</w:t>
      </w:r>
      <w:r w:rsidR="00875D23" w:rsidRPr="00450B64">
        <w:rPr>
          <w:rFonts w:eastAsia="Times New Roman"/>
          <w:b/>
          <w:color w:val="000000"/>
          <w:lang w:val="de-DE" w:eastAsia="de-AT"/>
        </w:rPr>
        <w:t>:</w:t>
      </w:r>
    </w:p>
    <w:p w14:paraId="7502A95C" w14:textId="77777777" w:rsidR="00C02754" w:rsidRPr="00450B64" w:rsidRDefault="00C02754" w:rsidP="001F721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eastAsia="Times New Roman"/>
          <w:i/>
          <w:color w:val="000000"/>
          <w:lang w:val="de-DE" w:eastAsia="de-AT"/>
        </w:rPr>
      </w:pPr>
      <w:r w:rsidRPr="00450B64">
        <w:rPr>
          <w:rFonts w:eastAsia="Times New Roman"/>
          <w:i/>
          <w:color w:val="000000"/>
          <w:lang w:val="de-DE" w:eastAsia="de-AT"/>
        </w:rPr>
        <w:t>Allgemeine Aspekte</w:t>
      </w:r>
    </w:p>
    <w:p w14:paraId="36D40F79" w14:textId="0F4088E7" w:rsidR="00662BED" w:rsidRPr="0060549C" w:rsidRDefault="00FE3114" w:rsidP="00CB0BC3">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sidRPr="00450B64">
        <w:rPr>
          <w:rFonts w:eastAsia="Times New Roman"/>
          <w:color w:val="000000"/>
          <w:lang w:val="de-DE" w:eastAsia="de-AT"/>
        </w:rPr>
        <w:t>Eine interdisziplinäre Entscheidung über das Vorgehen bei zerebral metastasierten Patienten war nie zuvor so wichtig wie</w:t>
      </w:r>
      <w:r w:rsidR="00BA3E76" w:rsidRPr="00450B64">
        <w:rPr>
          <w:rFonts w:eastAsia="Times New Roman"/>
          <w:color w:val="000000"/>
          <w:lang w:val="de-DE" w:eastAsia="de-AT"/>
        </w:rPr>
        <w:t xml:space="preserve"> aktuell</w:t>
      </w:r>
      <w:r w:rsidR="001B53F9" w:rsidRPr="00450B64">
        <w:rPr>
          <w:rFonts w:eastAsia="Times New Roman"/>
          <w:color w:val="000000"/>
          <w:lang w:val="de-DE" w:eastAsia="de-AT"/>
        </w:rPr>
        <w:t>.</w:t>
      </w:r>
      <w:r w:rsidR="00821C8A" w:rsidRPr="00450B64">
        <w:rPr>
          <w:rFonts w:eastAsia="Times New Roman"/>
          <w:color w:val="000000"/>
          <w:lang w:val="de-DE" w:eastAsia="de-AT"/>
        </w:rPr>
        <w:t xml:space="preserve"> </w:t>
      </w:r>
      <w:r w:rsidR="001B53F9" w:rsidRPr="00450B64">
        <w:rPr>
          <w:rFonts w:eastAsia="Times New Roman"/>
          <w:color w:val="000000"/>
          <w:lang w:val="de-DE" w:eastAsia="de-AT"/>
        </w:rPr>
        <w:t>D</w:t>
      </w:r>
      <w:r w:rsidR="0090513E" w:rsidRPr="00450B64">
        <w:rPr>
          <w:rFonts w:eastAsia="Times New Roman"/>
          <w:color w:val="000000"/>
          <w:lang w:val="de-DE" w:eastAsia="de-AT"/>
        </w:rPr>
        <w:t xml:space="preserve">urch </w:t>
      </w:r>
      <w:r w:rsidR="00821C8A" w:rsidRPr="00450B64">
        <w:rPr>
          <w:rFonts w:eastAsia="Times New Roman"/>
          <w:color w:val="000000"/>
          <w:lang w:val="de-DE" w:eastAsia="de-AT"/>
        </w:rPr>
        <w:t xml:space="preserve">die </w:t>
      </w:r>
      <w:r w:rsidR="00662BED" w:rsidRPr="00450B64">
        <w:rPr>
          <w:rFonts w:eastAsia="Times New Roman"/>
          <w:color w:val="000000"/>
          <w:lang w:val="de-DE" w:eastAsia="de-AT"/>
        </w:rPr>
        <w:t xml:space="preserve">in den letzten Jahren </w:t>
      </w:r>
      <w:r w:rsidR="00821C8A" w:rsidRPr="00450B64">
        <w:rPr>
          <w:rFonts w:eastAsia="Times New Roman"/>
          <w:color w:val="000000"/>
          <w:lang w:val="de-DE" w:eastAsia="de-AT"/>
        </w:rPr>
        <w:t>stattfindende</w:t>
      </w:r>
      <w:r w:rsidRPr="00450B64">
        <w:rPr>
          <w:rFonts w:eastAsia="Times New Roman"/>
          <w:color w:val="000000"/>
          <w:lang w:val="de-DE" w:eastAsia="de-AT"/>
        </w:rPr>
        <w:t xml:space="preserve"> Revolutionierung der Systemtherapien </w:t>
      </w:r>
      <w:r w:rsidR="00821C8A" w:rsidRPr="00450B64">
        <w:rPr>
          <w:rFonts w:eastAsia="Times New Roman"/>
          <w:color w:val="000000"/>
          <w:lang w:val="de-DE" w:eastAsia="de-AT"/>
        </w:rPr>
        <w:t>und d</w:t>
      </w:r>
      <w:r w:rsidR="00662BED" w:rsidRPr="00450B64">
        <w:rPr>
          <w:rFonts w:eastAsia="Times New Roman"/>
          <w:color w:val="000000"/>
          <w:lang w:val="de-DE" w:eastAsia="de-AT"/>
        </w:rPr>
        <w:t>ie</w:t>
      </w:r>
      <w:r w:rsidRPr="00450B64">
        <w:rPr>
          <w:rFonts w:eastAsia="Times New Roman"/>
          <w:color w:val="000000"/>
          <w:lang w:val="de-DE" w:eastAsia="de-AT"/>
        </w:rPr>
        <w:t xml:space="preserve"> </w:t>
      </w:r>
      <w:r w:rsidR="0090513E" w:rsidRPr="00450B64">
        <w:rPr>
          <w:rFonts w:eastAsia="Times New Roman"/>
          <w:color w:val="000000"/>
          <w:lang w:val="de-DE" w:eastAsia="de-AT"/>
        </w:rPr>
        <w:t xml:space="preserve">damit verbundenen </w:t>
      </w:r>
      <w:r w:rsidRPr="00450B64">
        <w:rPr>
          <w:rFonts w:eastAsia="Times New Roman"/>
          <w:color w:val="000000"/>
          <w:lang w:val="de-DE" w:eastAsia="de-AT"/>
        </w:rPr>
        <w:t>Erfolg</w:t>
      </w:r>
      <w:r w:rsidR="00821C8A" w:rsidRPr="00450B64">
        <w:rPr>
          <w:rFonts w:eastAsia="Times New Roman"/>
          <w:color w:val="000000"/>
          <w:lang w:val="de-DE" w:eastAsia="de-AT"/>
        </w:rPr>
        <w:t>e</w:t>
      </w:r>
      <w:r w:rsidRPr="00450B64">
        <w:rPr>
          <w:rFonts w:eastAsia="Times New Roman"/>
          <w:color w:val="000000"/>
          <w:lang w:val="de-DE" w:eastAsia="de-AT"/>
        </w:rPr>
        <w:t xml:space="preserve"> in der Behandlung von viszeral metastasierten Tumorpatienten</w:t>
      </w:r>
      <w:r w:rsidR="003A16C1" w:rsidRPr="00450B64">
        <w:rPr>
          <w:rFonts w:eastAsia="Times New Roman"/>
          <w:color w:val="000000"/>
          <w:lang w:val="de-DE" w:eastAsia="de-AT"/>
        </w:rPr>
        <w:t xml:space="preserve"> </w:t>
      </w:r>
      <w:r w:rsidR="0090513E" w:rsidRPr="00450B64">
        <w:rPr>
          <w:rFonts w:eastAsia="Times New Roman"/>
          <w:color w:val="000000"/>
          <w:lang w:val="de-DE" w:eastAsia="de-AT"/>
        </w:rPr>
        <w:t xml:space="preserve">konnte </w:t>
      </w:r>
      <w:r w:rsidR="003A16C1" w:rsidRPr="00450B64">
        <w:rPr>
          <w:rFonts w:eastAsia="Times New Roman"/>
          <w:color w:val="000000"/>
          <w:lang w:val="de-DE" w:eastAsia="de-AT"/>
        </w:rPr>
        <w:t xml:space="preserve">eine </w:t>
      </w:r>
      <w:r w:rsidRPr="00450B64">
        <w:rPr>
          <w:rFonts w:eastAsia="Times New Roman"/>
          <w:color w:val="000000"/>
          <w:lang w:val="de-DE" w:eastAsia="de-AT"/>
        </w:rPr>
        <w:t xml:space="preserve">Verlängerung des Gesamtüberlebens </w:t>
      </w:r>
      <w:r w:rsidR="00662BED" w:rsidRPr="00450B64">
        <w:rPr>
          <w:rFonts w:eastAsia="Times New Roman"/>
          <w:color w:val="000000"/>
          <w:lang w:val="de-DE" w:eastAsia="de-AT"/>
        </w:rPr>
        <w:t>in vielen Entitäten</w:t>
      </w:r>
      <w:r w:rsidR="0090513E" w:rsidRPr="00450B64">
        <w:rPr>
          <w:rFonts w:eastAsia="Times New Roman"/>
          <w:color w:val="000000"/>
          <w:lang w:val="de-DE" w:eastAsia="de-AT"/>
        </w:rPr>
        <w:t xml:space="preserve"> verzeichnet werden</w:t>
      </w:r>
      <w:r w:rsidR="003A16C1" w:rsidRPr="00450B64">
        <w:rPr>
          <w:rFonts w:eastAsia="Times New Roman"/>
          <w:color w:val="000000"/>
          <w:lang w:val="de-DE" w:eastAsia="de-AT"/>
        </w:rPr>
        <w:t>.</w:t>
      </w:r>
      <w:r w:rsidRPr="00450B64">
        <w:rPr>
          <w:rFonts w:eastAsia="Times New Roman"/>
          <w:color w:val="000000"/>
          <w:lang w:val="de-DE" w:eastAsia="de-AT"/>
        </w:rPr>
        <w:t xml:space="preserve"> Diese Therapieverbesserungen betreffen gerade auch solche Tumoren, die besonders </w:t>
      </w:r>
      <w:r w:rsidR="00A14BC1">
        <w:rPr>
          <w:rFonts w:eastAsia="Times New Roman"/>
          <w:color w:val="000000"/>
          <w:lang w:val="de-DE" w:eastAsia="de-AT"/>
        </w:rPr>
        <w:t>h</w:t>
      </w:r>
      <w:r w:rsidRPr="00450B64">
        <w:rPr>
          <w:rFonts w:eastAsia="Times New Roman"/>
          <w:color w:val="000000"/>
          <w:lang w:val="de-DE" w:eastAsia="de-AT"/>
        </w:rPr>
        <w:t>äufig in das ZNS metastasieren, z.</w:t>
      </w:r>
      <w:r w:rsidR="003A16C1" w:rsidRPr="00450B64">
        <w:rPr>
          <w:rFonts w:eastAsia="Times New Roman"/>
          <w:color w:val="000000"/>
          <w:lang w:val="de-DE" w:eastAsia="de-AT"/>
        </w:rPr>
        <w:t xml:space="preserve"> </w:t>
      </w:r>
      <w:r w:rsidRPr="00450B64">
        <w:rPr>
          <w:rFonts w:eastAsia="Times New Roman"/>
          <w:color w:val="000000"/>
          <w:lang w:val="de-DE" w:eastAsia="de-AT"/>
        </w:rPr>
        <w:t xml:space="preserve">B. die </w:t>
      </w:r>
      <w:r w:rsidR="005C23FC" w:rsidRPr="00450B64">
        <w:rPr>
          <w:rFonts w:eastAsia="Times New Roman"/>
          <w:color w:val="000000"/>
          <w:lang w:val="de-DE" w:eastAsia="de-AT"/>
        </w:rPr>
        <w:t>Karzinome der Lunge</w:t>
      </w:r>
      <w:r w:rsidR="00A14BC1">
        <w:rPr>
          <w:rFonts w:eastAsia="Times New Roman"/>
          <w:color w:val="000000"/>
          <w:lang w:val="de-DE" w:eastAsia="de-AT"/>
        </w:rPr>
        <w:t xml:space="preserve"> (40-60%)</w:t>
      </w:r>
      <w:r w:rsidR="005C23FC" w:rsidRPr="00450B64">
        <w:rPr>
          <w:rFonts w:eastAsia="Times New Roman"/>
          <w:color w:val="000000"/>
          <w:lang w:val="de-DE" w:eastAsia="de-AT"/>
        </w:rPr>
        <w:t xml:space="preserve"> und der Brust</w:t>
      </w:r>
      <w:r w:rsidR="00A14BC1">
        <w:rPr>
          <w:rFonts w:eastAsia="Times New Roman"/>
          <w:color w:val="000000"/>
          <w:lang w:val="de-DE" w:eastAsia="de-AT"/>
        </w:rPr>
        <w:t xml:space="preserve"> (20-40%)</w:t>
      </w:r>
      <w:r w:rsidR="005C23FC" w:rsidRPr="00450B64">
        <w:rPr>
          <w:rFonts w:eastAsia="Times New Roman"/>
          <w:color w:val="000000"/>
          <w:lang w:val="de-DE" w:eastAsia="de-AT"/>
        </w:rPr>
        <w:t xml:space="preserve">, sowie die malignen </w:t>
      </w:r>
      <w:r w:rsidRPr="00450B64">
        <w:rPr>
          <w:rFonts w:eastAsia="Times New Roman"/>
          <w:color w:val="000000"/>
          <w:lang w:val="de-DE" w:eastAsia="de-AT"/>
        </w:rPr>
        <w:t>Melanome</w:t>
      </w:r>
      <w:r w:rsidR="00A14BC1">
        <w:rPr>
          <w:rFonts w:eastAsia="Times New Roman"/>
          <w:color w:val="000000"/>
          <w:lang w:val="de-DE" w:eastAsia="de-AT"/>
        </w:rPr>
        <w:t xml:space="preserve"> (10-15%)</w:t>
      </w:r>
      <w:r w:rsidR="003A16C1" w:rsidRPr="00450B64">
        <w:rPr>
          <w:rFonts w:eastAsia="Times New Roman"/>
          <w:color w:val="000000"/>
          <w:lang w:val="de-DE" w:eastAsia="de-AT"/>
        </w:rPr>
        <w:t xml:space="preserve">. </w:t>
      </w:r>
      <w:r w:rsidR="00A14BC1">
        <w:rPr>
          <w:rFonts w:eastAsia="Times New Roman"/>
          <w:color w:val="000000"/>
          <w:lang w:val="de-DE" w:eastAsia="de-AT"/>
        </w:rPr>
        <w:t>D</w:t>
      </w:r>
      <w:r w:rsidR="003A16C1" w:rsidRPr="004B408B">
        <w:rPr>
          <w:rFonts w:eastAsia="Times New Roman"/>
          <w:color w:val="000000"/>
          <w:lang w:val="de-DE" w:eastAsia="de-AT"/>
        </w:rPr>
        <w:t xml:space="preserve">ie Erkenntnis, inwieweit zerebral metastasierte Patienten mit </w:t>
      </w:r>
      <w:r w:rsidR="00B648B7" w:rsidRPr="004B408B">
        <w:rPr>
          <w:rFonts w:eastAsia="Times New Roman"/>
          <w:color w:val="000000"/>
          <w:lang w:val="de-DE" w:eastAsia="de-AT"/>
        </w:rPr>
        <w:t>diesen Tumoren</w:t>
      </w:r>
      <w:r w:rsidR="003A16C1" w:rsidRPr="004B408B">
        <w:rPr>
          <w:rFonts w:eastAsia="Times New Roman"/>
          <w:color w:val="000000"/>
          <w:lang w:val="de-DE" w:eastAsia="de-AT"/>
        </w:rPr>
        <w:t xml:space="preserve"> </w:t>
      </w:r>
      <w:r w:rsidR="00C77EF8" w:rsidRPr="004B408B">
        <w:rPr>
          <w:rFonts w:eastAsia="Times New Roman"/>
          <w:color w:val="000000"/>
          <w:lang w:val="de-DE" w:eastAsia="de-AT"/>
        </w:rPr>
        <w:t xml:space="preserve">sich bzgl. </w:t>
      </w:r>
      <w:r w:rsidR="00197828" w:rsidRPr="004B408B">
        <w:rPr>
          <w:rFonts w:eastAsia="Times New Roman"/>
          <w:color w:val="000000"/>
          <w:lang w:val="de-DE" w:eastAsia="de-AT"/>
        </w:rPr>
        <w:t xml:space="preserve">des </w:t>
      </w:r>
      <w:r w:rsidR="00C77EF8" w:rsidRPr="004B408B">
        <w:rPr>
          <w:rFonts w:eastAsia="Times New Roman"/>
          <w:color w:val="000000"/>
          <w:lang w:val="de-DE" w:eastAsia="de-AT"/>
        </w:rPr>
        <w:t>Ansprechen</w:t>
      </w:r>
      <w:r w:rsidR="00197828" w:rsidRPr="004B408B">
        <w:rPr>
          <w:rFonts w:eastAsia="Times New Roman"/>
          <w:color w:val="000000"/>
          <w:lang w:val="de-DE" w:eastAsia="de-AT"/>
        </w:rPr>
        <w:t>s</w:t>
      </w:r>
      <w:r w:rsidR="00C77EF8" w:rsidRPr="004B408B">
        <w:rPr>
          <w:rFonts w:eastAsia="Times New Roman"/>
          <w:color w:val="000000"/>
          <w:lang w:val="de-DE" w:eastAsia="de-AT"/>
        </w:rPr>
        <w:t xml:space="preserve"> auf moderne </w:t>
      </w:r>
      <w:r w:rsidR="003A16C1" w:rsidRPr="004B408B">
        <w:rPr>
          <w:rFonts w:eastAsia="Times New Roman"/>
          <w:color w:val="000000"/>
          <w:lang w:val="de-DE" w:eastAsia="de-AT"/>
        </w:rPr>
        <w:t>systemi</w:t>
      </w:r>
      <w:r w:rsidR="003A16C1" w:rsidRPr="00D675E0">
        <w:rPr>
          <w:rFonts w:eastAsia="Times New Roman"/>
          <w:color w:val="000000"/>
          <w:lang w:val="de-AT" w:eastAsia="de-AT"/>
        </w:rPr>
        <w:t>sche Therapie</w:t>
      </w:r>
      <w:r w:rsidR="00C77EF8">
        <w:rPr>
          <w:rFonts w:eastAsia="Times New Roman"/>
          <w:color w:val="000000"/>
          <w:lang w:val="de-AT" w:eastAsia="de-AT"/>
        </w:rPr>
        <w:t xml:space="preserve">n und </w:t>
      </w:r>
      <w:r w:rsidR="00A477C7">
        <w:rPr>
          <w:rFonts w:eastAsia="Times New Roman"/>
          <w:color w:val="000000"/>
          <w:lang w:val="de-AT" w:eastAsia="de-AT"/>
        </w:rPr>
        <w:t xml:space="preserve">in </w:t>
      </w:r>
      <w:r w:rsidR="00C77EF8">
        <w:rPr>
          <w:rFonts w:eastAsia="Times New Roman"/>
          <w:color w:val="000000"/>
          <w:lang w:val="de-AT" w:eastAsia="de-AT"/>
        </w:rPr>
        <w:t>ihrer Prognose von denen mit ausschließlich viszeralen Metastasen</w:t>
      </w:r>
      <w:r w:rsidR="003A16C1" w:rsidRPr="00D675E0">
        <w:rPr>
          <w:rFonts w:eastAsia="Times New Roman"/>
          <w:color w:val="000000"/>
          <w:lang w:val="de-AT" w:eastAsia="de-AT"/>
        </w:rPr>
        <w:t xml:space="preserve"> </w:t>
      </w:r>
      <w:r w:rsidR="00A477C7">
        <w:rPr>
          <w:rFonts w:eastAsia="Times New Roman"/>
          <w:color w:val="000000"/>
          <w:lang w:val="de-AT" w:eastAsia="de-AT"/>
        </w:rPr>
        <w:t xml:space="preserve">unterscheiden, </w:t>
      </w:r>
      <w:r w:rsidR="00A14BC1">
        <w:rPr>
          <w:rFonts w:eastAsia="Times New Roman"/>
          <w:color w:val="000000"/>
          <w:lang w:val="de-AT" w:eastAsia="de-AT"/>
        </w:rPr>
        <w:t xml:space="preserve">ist </w:t>
      </w:r>
      <w:r w:rsidR="003A16C1" w:rsidRPr="00D675E0">
        <w:rPr>
          <w:rFonts w:eastAsia="Times New Roman"/>
          <w:color w:val="000000"/>
          <w:lang w:val="de-AT" w:eastAsia="de-AT"/>
        </w:rPr>
        <w:t xml:space="preserve">derzeit </w:t>
      </w:r>
      <w:r w:rsidR="00A477C7">
        <w:rPr>
          <w:rFonts w:eastAsia="Times New Roman"/>
          <w:color w:val="000000"/>
          <w:lang w:val="de-AT" w:eastAsia="de-AT"/>
        </w:rPr>
        <w:t xml:space="preserve">noch </w:t>
      </w:r>
      <w:r w:rsidR="003A16C1" w:rsidRPr="00D675E0">
        <w:rPr>
          <w:rFonts w:eastAsia="Times New Roman"/>
          <w:color w:val="000000"/>
          <w:lang w:val="de-AT" w:eastAsia="de-AT"/>
        </w:rPr>
        <w:t>begrenzt</w:t>
      </w:r>
      <w:r w:rsidR="00A477C7">
        <w:rPr>
          <w:rFonts w:eastAsia="Times New Roman"/>
          <w:color w:val="000000"/>
          <w:lang w:val="de-AT" w:eastAsia="de-AT"/>
        </w:rPr>
        <w:t xml:space="preserve">. </w:t>
      </w:r>
      <w:r w:rsidR="00D8598D">
        <w:rPr>
          <w:rFonts w:eastAsia="Times New Roman"/>
          <w:color w:val="000000"/>
          <w:lang w:val="de-AT" w:eastAsia="de-AT"/>
        </w:rPr>
        <w:t>Ein Ha</w:t>
      </w:r>
      <w:r w:rsidR="00391FD7">
        <w:rPr>
          <w:rFonts w:eastAsia="Times New Roman"/>
          <w:color w:val="000000"/>
          <w:lang w:val="de-AT" w:eastAsia="de-AT"/>
        </w:rPr>
        <w:t>uptgrund dafür ist der, nosologisch übergreifende</w:t>
      </w:r>
      <w:r w:rsidR="00662BED">
        <w:rPr>
          <w:rFonts w:eastAsia="Times New Roman"/>
          <w:color w:val="000000"/>
          <w:lang w:val="de-AT" w:eastAsia="de-AT"/>
        </w:rPr>
        <w:t>,</w:t>
      </w:r>
      <w:r w:rsidR="00391FD7">
        <w:rPr>
          <w:rFonts w:eastAsia="Times New Roman"/>
          <w:color w:val="000000"/>
          <w:lang w:val="de-AT" w:eastAsia="de-AT"/>
        </w:rPr>
        <w:t xml:space="preserve"> Ausschluss</w:t>
      </w:r>
      <w:r w:rsidR="00D8598D">
        <w:rPr>
          <w:rFonts w:eastAsia="Times New Roman"/>
          <w:color w:val="000000"/>
          <w:lang w:val="de-AT" w:eastAsia="de-AT"/>
        </w:rPr>
        <w:t xml:space="preserve"> von</w:t>
      </w:r>
      <w:r w:rsidR="003A16C1" w:rsidRPr="00D675E0">
        <w:rPr>
          <w:rFonts w:eastAsia="Times New Roman"/>
          <w:color w:val="000000"/>
          <w:lang w:val="de-AT" w:eastAsia="de-AT"/>
        </w:rPr>
        <w:t xml:space="preserve"> Patienten mit Hirnmetastasen </w:t>
      </w:r>
      <w:r w:rsidR="00D8598D">
        <w:rPr>
          <w:rFonts w:eastAsia="Times New Roman"/>
          <w:color w:val="000000"/>
          <w:lang w:val="de-AT" w:eastAsia="de-AT"/>
        </w:rPr>
        <w:t xml:space="preserve">in </w:t>
      </w:r>
      <w:r w:rsidR="00A4738B">
        <w:rPr>
          <w:rFonts w:eastAsia="Times New Roman"/>
          <w:color w:val="000000"/>
          <w:lang w:val="de-AT" w:eastAsia="de-AT"/>
        </w:rPr>
        <w:t xml:space="preserve">der Mehrzahl </w:t>
      </w:r>
      <w:r w:rsidR="00A14BC1">
        <w:rPr>
          <w:rFonts w:eastAsia="Times New Roman"/>
          <w:color w:val="000000"/>
          <w:lang w:val="de-AT" w:eastAsia="de-AT"/>
        </w:rPr>
        <w:t>von</w:t>
      </w:r>
      <w:r w:rsidR="00A14BC1" w:rsidRPr="00D675E0">
        <w:rPr>
          <w:rFonts w:eastAsia="Times New Roman"/>
          <w:color w:val="000000"/>
          <w:lang w:val="de-AT" w:eastAsia="de-AT"/>
        </w:rPr>
        <w:t xml:space="preserve"> </w:t>
      </w:r>
      <w:r w:rsidR="003A16C1" w:rsidRPr="00CB0BC3">
        <w:rPr>
          <w:rFonts w:eastAsia="Times New Roman"/>
          <w:color w:val="000000"/>
          <w:lang w:val="de-AT" w:eastAsia="de-AT"/>
        </w:rPr>
        <w:t>Zulassungsstudien</w:t>
      </w:r>
      <w:r w:rsidR="00391FD7" w:rsidRPr="00CB0BC3">
        <w:rPr>
          <w:rFonts w:eastAsia="Times New Roman"/>
          <w:color w:val="000000"/>
          <w:lang w:val="de-AT" w:eastAsia="de-AT"/>
        </w:rPr>
        <w:t>.</w:t>
      </w:r>
      <w:r w:rsidR="003A16C1" w:rsidRPr="00CB0BC3">
        <w:rPr>
          <w:rFonts w:eastAsia="Times New Roman"/>
          <w:color w:val="000000"/>
          <w:lang w:val="de-AT" w:eastAsia="de-AT"/>
        </w:rPr>
        <w:t xml:space="preserve"> </w:t>
      </w:r>
    </w:p>
    <w:p w14:paraId="342B5E6E" w14:textId="7A161290" w:rsidR="0015115A" w:rsidRDefault="0060549C" w:rsidP="00EA7F37">
      <w:pPr>
        <w:widowControl w:val="0"/>
        <w:autoSpaceDE w:val="0"/>
        <w:autoSpaceDN w:val="0"/>
        <w:adjustRightInd w:val="0"/>
        <w:spacing w:after="120" w:line="360" w:lineRule="auto"/>
        <w:jc w:val="both"/>
        <w:rPr>
          <w:rFonts w:ascii="ProximaNovaA-Regular" w:hAnsi="ProximaNovaA-Regular" w:cs="ProximaNovaA-Regular"/>
          <w:color w:val="3D3D3D"/>
          <w:sz w:val="32"/>
          <w:szCs w:val="32"/>
        </w:rPr>
      </w:pPr>
      <w:r>
        <w:rPr>
          <w:rFonts w:ascii="Arial" w:hAnsi="Arial" w:cs="Arial"/>
          <w:color w:val="3A3A3A"/>
          <w:sz w:val="24"/>
          <w:szCs w:val="24"/>
        </w:rPr>
        <w:t xml:space="preserve">Prinzipiell richtet sich die </w:t>
      </w:r>
      <w:r w:rsidR="00C87974">
        <w:rPr>
          <w:rFonts w:ascii="Arial" w:hAnsi="Arial" w:cs="Arial"/>
          <w:color w:val="3A3A3A"/>
          <w:sz w:val="24"/>
          <w:szCs w:val="24"/>
        </w:rPr>
        <w:t>medikamentöse Therapie</w:t>
      </w:r>
      <w:r>
        <w:rPr>
          <w:rFonts w:ascii="Arial" w:hAnsi="Arial" w:cs="Arial"/>
          <w:color w:val="3A3A3A"/>
          <w:sz w:val="24"/>
          <w:szCs w:val="24"/>
        </w:rPr>
        <w:t xml:space="preserve"> </w:t>
      </w:r>
      <w:r w:rsidR="008027AC">
        <w:rPr>
          <w:rFonts w:ascii="Arial" w:hAnsi="Arial" w:cs="Arial"/>
          <w:color w:val="3A3A3A"/>
          <w:sz w:val="24"/>
          <w:szCs w:val="24"/>
        </w:rPr>
        <w:t xml:space="preserve">bei ZNS Metastasierung </w:t>
      </w:r>
      <w:r>
        <w:rPr>
          <w:rFonts w:ascii="Arial" w:hAnsi="Arial" w:cs="Arial"/>
          <w:color w:val="3A3A3A"/>
          <w:sz w:val="24"/>
          <w:szCs w:val="24"/>
        </w:rPr>
        <w:t>nach der Klassifikation und dem molekularen Profil des Primärtumors</w:t>
      </w:r>
      <w:r w:rsidR="001D6A5D">
        <w:rPr>
          <w:rFonts w:ascii="Arial" w:hAnsi="Arial" w:cs="Arial"/>
          <w:color w:val="3A3A3A"/>
          <w:sz w:val="24"/>
          <w:szCs w:val="24"/>
        </w:rPr>
        <w:t xml:space="preserve">, vor allem bei synchronem </w:t>
      </w:r>
      <w:r w:rsidR="001D6A5D" w:rsidRPr="0015115A">
        <w:rPr>
          <w:rFonts w:ascii="Arial" w:hAnsi="Arial" w:cs="Arial"/>
          <w:color w:val="3A3A3A"/>
          <w:sz w:val="24"/>
          <w:szCs w:val="24"/>
        </w:rPr>
        <w:t>Auftreten.</w:t>
      </w:r>
      <w:r w:rsidR="008027AC" w:rsidRPr="0015115A">
        <w:rPr>
          <w:rFonts w:ascii="Arial" w:hAnsi="Arial" w:cs="Arial"/>
          <w:color w:val="3A3A3A"/>
          <w:sz w:val="24"/>
          <w:szCs w:val="24"/>
        </w:rPr>
        <w:t xml:space="preserve"> </w:t>
      </w:r>
      <w:r w:rsidR="001D6A5D" w:rsidRPr="0015115A">
        <w:rPr>
          <w:rFonts w:ascii="Arial" w:hAnsi="Arial" w:cs="Arial"/>
          <w:color w:val="3A3A3A"/>
          <w:sz w:val="24"/>
          <w:szCs w:val="24"/>
        </w:rPr>
        <w:t xml:space="preserve">Bei </w:t>
      </w:r>
      <w:r w:rsidR="00A810A6" w:rsidRPr="0015115A">
        <w:rPr>
          <w:rFonts w:ascii="Arial" w:hAnsi="Arial" w:cs="Arial"/>
          <w:color w:val="3A3A3A"/>
          <w:sz w:val="24"/>
          <w:szCs w:val="24"/>
        </w:rPr>
        <w:t>m</w:t>
      </w:r>
      <w:r w:rsidR="001D6A5D" w:rsidRPr="0015115A">
        <w:rPr>
          <w:rFonts w:ascii="Arial" w:hAnsi="Arial" w:cs="Arial"/>
          <w:color w:val="3A3A3A"/>
          <w:sz w:val="24"/>
          <w:szCs w:val="24"/>
        </w:rPr>
        <w:t>etachrone</w:t>
      </w:r>
      <w:r w:rsidR="00A810A6" w:rsidRPr="0015115A">
        <w:rPr>
          <w:rFonts w:ascii="Arial" w:hAnsi="Arial" w:cs="Arial"/>
          <w:color w:val="3A3A3A"/>
          <w:sz w:val="24"/>
          <w:szCs w:val="24"/>
        </w:rPr>
        <w:t>n</w:t>
      </w:r>
      <w:r w:rsidR="001D6A5D" w:rsidRPr="0015115A">
        <w:rPr>
          <w:rFonts w:ascii="Arial" w:hAnsi="Arial" w:cs="Arial"/>
          <w:color w:val="3A3A3A"/>
          <w:sz w:val="24"/>
          <w:szCs w:val="24"/>
        </w:rPr>
        <w:t xml:space="preserve"> </w:t>
      </w:r>
      <w:r w:rsidR="008027AC" w:rsidRPr="0015115A">
        <w:rPr>
          <w:rFonts w:ascii="Arial" w:hAnsi="Arial" w:cs="Arial"/>
          <w:color w:val="3A3A3A"/>
          <w:sz w:val="24"/>
          <w:szCs w:val="24"/>
        </w:rPr>
        <w:t>ZNS M</w:t>
      </w:r>
      <w:r w:rsidR="00CB0BC3" w:rsidRPr="00EA7F37">
        <w:rPr>
          <w:rFonts w:ascii="Arial" w:hAnsi="Arial" w:cs="Arial"/>
          <w:color w:val="3A3A3A"/>
          <w:sz w:val="24"/>
          <w:szCs w:val="24"/>
        </w:rPr>
        <w:t>etastasen muss abgesch</w:t>
      </w:r>
      <w:r w:rsidR="00A810A6" w:rsidRPr="0015115A">
        <w:rPr>
          <w:rFonts w:ascii="Arial" w:hAnsi="Arial" w:cs="Arial"/>
          <w:color w:val="3A3A3A"/>
          <w:sz w:val="24"/>
          <w:szCs w:val="24"/>
        </w:rPr>
        <w:t>ä</w:t>
      </w:r>
      <w:r w:rsidR="00CB0BC3" w:rsidRPr="00EA7F37">
        <w:rPr>
          <w:rFonts w:ascii="Arial" w:hAnsi="Arial" w:cs="Arial"/>
          <w:color w:val="3A3A3A"/>
          <w:sz w:val="24"/>
          <w:szCs w:val="24"/>
        </w:rPr>
        <w:t xml:space="preserve">tzt werden, ob </w:t>
      </w:r>
      <w:r w:rsidR="00A810A6" w:rsidRPr="0015115A">
        <w:rPr>
          <w:rFonts w:ascii="Arial" w:hAnsi="Arial" w:cs="Arial"/>
          <w:color w:val="3A3A3A"/>
          <w:sz w:val="24"/>
          <w:szCs w:val="24"/>
        </w:rPr>
        <w:t>bei</w:t>
      </w:r>
      <w:r w:rsidR="00CB0BC3" w:rsidRPr="00EA7F37">
        <w:rPr>
          <w:rFonts w:ascii="Arial" w:hAnsi="Arial" w:cs="Arial"/>
          <w:color w:val="3A3A3A"/>
          <w:sz w:val="24"/>
          <w:szCs w:val="24"/>
        </w:rPr>
        <w:t xml:space="preserve"> systemische</w:t>
      </w:r>
      <w:r w:rsidR="00A810A6" w:rsidRPr="0015115A">
        <w:rPr>
          <w:rFonts w:ascii="Arial" w:hAnsi="Arial" w:cs="Arial"/>
          <w:color w:val="3A3A3A"/>
          <w:sz w:val="24"/>
          <w:szCs w:val="24"/>
        </w:rPr>
        <w:t>r</w:t>
      </w:r>
      <w:r w:rsidR="00CB0BC3" w:rsidRPr="00EA7F37">
        <w:rPr>
          <w:rFonts w:ascii="Arial" w:hAnsi="Arial" w:cs="Arial"/>
          <w:color w:val="3A3A3A"/>
          <w:sz w:val="24"/>
          <w:szCs w:val="24"/>
        </w:rPr>
        <w:t xml:space="preserve"> Vorbehandlung von einer sekund</w:t>
      </w:r>
      <w:r w:rsidR="00A810A6" w:rsidRPr="0015115A">
        <w:rPr>
          <w:rFonts w:ascii="Arial" w:hAnsi="Arial" w:cs="Arial"/>
          <w:color w:val="3A3A3A"/>
          <w:sz w:val="24"/>
          <w:szCs w:val="24"/>
        </w:rPr>
        <w:t>ä</w:t>
      </w:r>
      <w:r w:rsidR="00CB0BC3" w:rsidRPr="00EA7F37">
        <w:rPr>
          <w:rFonts w:ascii="Arial" w:hAnsi="Arial" w:cs="Arial"/>
          <w:color w:val="3A3A3A"/>
          <w:sz w:val="24"/>
          <w:szCs w:val="24"/>
        </w:rPr>
        <w:t>ren Resistenz auszugehen ist</w:t>
      </w:r>
      <w:r w:rsidR="00C53210" w:rsidRPr="0015115A">
        <w:rPr>
          <w:rFonts w:ascii="Arial" w:hAnsi="Arial" w:cs="Arial"/>
          <w:color w:val="3A3A3A"/>
          <w:sz w:val="24"/>
          <w:szCs w:val="24"/>
        </w:rPr>
        <w:t xml:space="preserve">, was </w:t>
      </w:r>
      <w:r w:rsidR="00A810A6" w:rsidRPr="00EA7F37">
        <w:rPr>
          <w:rFonts w:ascii="Arial" w:hAnsi="Arial" w:cs="Arial"/>
          <w:color w:val="3A3A3A"/>
          <w:sz w:val="24"/>
          <w:szCs w:val="24"/>
        </w:rPr>
        <w:t xml:space="preserve">auch eine bioptische Aufarbeitung der </w:t>
      </w:r>
      <w:r w:rsidR="00BA7139" w:rsidRPr="00EA7F37">
        <w:rPr>
          <w:rFonts w:ascii="Arial" w:hAnsi="Arial" w:cs="Arial"/>
          <w:color w:val="3A3A3A"/>
          <w:sz w:val="24"/>
          <w:szCs w:val="24"/>
        </w:rPr>
        <w:t xml:space="preserve">ZNS Metastase </w:t>
      </w:r>
      <w:r w:rsidR="0081152D" w:rsidRPr="00EA7F37">
        <w:rPr>
          <w:rFonts w:ascii="Arial" w:hAnsi="Arial" w:cs="Arial"/>
          <w:color w:val="3A3A3A"/>
          <w:sz w:val="24"/>
          <w:szCs w:val="24"/>
        </w:rPr>
        <w:t xml:space="preserve">oder eine </w:t>
      </w:r>
      <w:r w:rsidR="00DF1FF3">
        <w:rPr>
          <w:rFonts w:ascii="Arial" w:hAnsi="Arial" w:cs="Arial"/>
          <w:color w:val="3A3A3A"/>
          <w:sz w:val="24"/>
          <w:szCs w:val="24"/>
        </w:rPr>
        <w:t>„</w:t>
      </w:r>
      <w:r w:rsidR="0081152D" w:rsidRPr="00EA7F37">
        <w:rPr>
          <w:rFonts w:ascii="Arial" w:hAnsi="Arial" w:cs="Arial"/>
          <w:color w:val="3A3A3A"/>
          <w:sz w:val="24"/>
          <w:szCs w:val="24"/>
        </w:rPr>
        <w:t xml:space="preserve">liquid </w:t>
      </w:r>
      <w:r w:rsidR="00DF1FF3">
        <w:rPr>
          <w:rFonts w:ascii="Arial" w:hAnsi="Arial" w:cs="Arial"/>
          <w:color w:val="3A3A3A"/>
          <w:sz w:val="24"/>
          <w:szCs w:val="24"/>
        </w:rPr>
        <w:t>b</w:t>
      </w:r>
      <w:r w:rsidR="0081152D" w:rsidRPr="00EA7F37">
        <w:rPr>
          <w:rFonts w:ascii="Arial" w:hAnsi="Arial" w:cs="Arial"/>
          <w:color w:val="3A3A3A"/>
          <w:sz w:val="24"/>
          <w:szCs w:val="24"/>
        </w:rPr>
        <w:t>iops</w:t>
      </w:r>
      <w:r w:rsidR="00DF1FF3">
        <w:rPr>
          <w:rFonts w:ascii="Arial" w:hAnsi="Arial" w:cs="Arial"/>
          <w:color w:val="3A3A3A"/>
          <w:sz w:val="24"/>
          <w:szCs w:val="24"/>
        </w:rPr>
        <w:t>y“</w:t>
      </w:r>
      <w:r w:rsidR="0081152D" w:rsidRPr="00EA7F37">
        <w:rPr>
          <w:rFonts w:ascii="Arial" w:hAnsi="Arial" w:cs="Arial"/>
          <w:color w:val="3A3A3A"/>
          <w:sz w:val="24"/>
          <w:szCs w:val="24"/>
        </w:rPr>
        <w:t xml:space="preserve"> (</w:t>
      </w:r>
      <w:r w:rsidR="00A14BC1">
        <w:rPr>
          <w:rFonts w:ascii="Arial" w:hAnsi="Arial" w:cs="Arial"/>
          <w:color w:val="3A3A3A"/>
          <w:sz w:val="24"/>
          <w:szCs w:val="24"/>
        </w:rPr>
        <w:t xml:space="preserve">Blut oder analog z.B. </w:t>
      </w:r>
      <w:r w:rsidR="00433084">
        <w:rPr>
          <w:rFonts w:ascii="Arial" w:hAnsi="Arial" w:cs="Arial"/>
          <w:color w:val="3A3A3A"/>
          <w:sz w:val="24"/>
          <w:szCs w:val="24"/>
        </w:rPr>
        <w:t xml:space="preserve"> </w:t>
      </w:r>
      <w:r w:rsidR="0081152D" w:rsidRPr="00EA7F37">
        <w:rPr>
          <w:rFonts w:ascii="Arial" w:hAnsi="Arial" w:cs="Arial"/>
          <w:color w:val="3A3A3A"/>
          <w:sz w:val="24"/>
          <w:szCs w:val="24"/>
        </w:rPr>
        <w:t xml:space="preserve">Liquor) </w:t>
      </w:r>
      <w:r w:rsidR="00433084">
        <w:rPr>
          <w:rFonts w:ascii="Arial" w:hAnsi="Arial" w:cs="Arial"/>
          <w:color w:val="3A3A3A"/>
          <w:sz w:val="24"/>
          <w:szCs w:val="24"/>
        </w:rPr>
        <w:t xml:space="preserve">mit anschließender Einzelparametertestung oder Panelsequenzierung </w:t>
      </w:r>
      <w:r w:rsidR="00BA7139" w:rsidRPr="00EA7F37">
        <w:rPr>
          <w:rFonts w:ascii="Arial" w:hAnsi="Arial" w:cs="Arial"/>
          <w:color w:val="3A3A3A"/>
          <w:sz w:val="24"/>
          <w:szCs w:val="24"/>
        </w:rPr>
        <w:t>rechtfertigt</w:t>
      </w:r>
      <w:r w:rsidR="00CB0BC3" w:rsidRPr="00EA7F37">
        <w:rPr>
          <w:rFonts w:ascii="Arial" w:hAnsi="Arial" w:cs="Arial"/>
          <w:color w:val="3A3A3A"/>
          <w:sz w:val="24"/>
          <w:szCs w:val="24"/>
        </w:rPr>
        <w:t>.</w:t>
      </w:r>
      <w:r w:rsidR="00952E8E" w:rsidRPr="0015115A">
        <w:rPr>
          <w:rFonts w:ascii="Arial" w:hAnsi="Arial" w:cs="Arial"/>
          <w:color w:val="3A3A3A"/>
          <w:sz w:val="24"/>
          <w:szCs w:val="24"/>
        </w:rPr>
        <w:t xml:space="preserve"> </w:t>
      </w:r>
      <w:r w:rsidR="0081152D" w:rsidRPr="0015115A">
        <w:rPr>
          <w:rFonts w:ascii="Arial" w:hAnsi="Arial" w:cs="Arial"/>
          <w:color w:val="3A3A3A"/>
          <w:sz w:val="24"/>
          <w:szCs w:val="24"/>
        </w:rPr>
        <w:t xml:space="preserve">Denn allgemein gilt, dass </w:t>
      </w:r>
      <w:r w:rsidR="00E70491" w:rsidRPr="00EA7F37">
        <w:rPr>
          <w:rFonts w:ascii="Arial" w:hAnsi="Arial" w:cs="ProximaNovaA-Regular"/>
          <w:color w:val="3D3D3D"/>
          <w:sz w:val="24"/>
          <w:szCs w:val="24"/>
        </w:rPr>
        <w:t>eine Konkordanz von Biomarkern (z.</w:t>
      </w:r>
      <w:r w:rsidR="0015115A">
        <w:rPr>
          <w:rFonts w:ascii="Arial" w:hAnsi="Arial" w:cs="ProximaNovaA-Regular"/>
          <w:color w:val="3D3D3D"/>
          <w:sz w:val="24"/>
          <w:szCs w:val="24"/>
        </w:rPr>
        <w:t xml:space="preserve"> </w:t>
      </w:r>
      <w:r w:rsidR="00E70491" w:rsidRPr="00EA7F37">
        <w:rPr>
          <w:rFonts w:ascii="Arial" w:hAnsi="Arial" w:cs="ProximaNovaA-Regular"/>
          <w:color w:val="3D3D3D"/>
          <w:sz w:val="24"/>
          <w:szCs w:val="24"/>
        </w:rPr>
        <w:t>B. Hormonrezeptoren, H</w:t>
      </w:r>
      <w:r w:rsidR="0015115A" w:rsidRPr="0015115A">
        <w:rPr>
          <w:rFonts w:ascii="Arial" w:hAnsi="Arial" w:cs="ProximaNovaA-Regular"/>
          <w:color w:val="3D3D3D"/>
          <w:sz w:val="24"/>
          <w:szCs w:val="24"/>
        </w:rPr>
        <w:t xml:space="preserve">ER2-Status, PD-L1) zwischen </w:t>
      </w:r>
      <w:r w:rsidR="00E70491" w:rsidRPr="00EA7F37">
        <w:rPr>
          <w:rFonts w:ascii="Arial" w:hAnsi="Arial" w:cs="ProximaNovaA-Regular"/>
          <w:color w:val="3D3D3D"/>
          <w:sz w:val="24"/>
          <w:szCs w:val="24"/>
        </w:rPr>
        <w:t xml:space="preserve">Primärtumor und den ZNS Metastasen </w:t>
      </w:r>
      <w:r w:rsidR="0015115A">
        <w:rPr>
          <w:rFonts w:ascii="Arial" w:hAnsi="Arial" w:cs="ProximaNovaA-Regular"/>
          <w:color w:val="3D3D3D"/>
          <w:sz w:val="24"/>
          <w:szCs w:val="24"/>
        </w:rPr>
        <w:t xml:space="preserve">oft </w:t>
      </w:r>
      <w:r w:rsidR="00E70491" w:rsidRPr="00EA7F37">
        <w:rPr>
          <w:rFonts w:ascii="Arial" w:hAnsi="Arial" w:cs="ProximaNovaA-Regular"/>
          <w:color w:val="3D3D3D"/>
          <w:sz w:val="24"/>
          <w:szCs w:val="24"/>
        </w:rPr>
        <w:t>nicht gegeben ist.</w:t>
      </w:r>
      <w:r w:rsidR="0042445A">
        <w:rPr>
          <w:rFonts w:ascii="Arial" w:hAnsi="Arial" w:cs="ProximaNovaA-Regular"/>
          <w:color w:val="3D3D3D"/>
          <w:sz w:val="24"/>
          <w:szCs w:val="24"/>
        </w:rPr>
        <w:fldChar w:fldCharType="begin" w:fldLock="1"/>
      </w:r>
      <w:r w:rsidR="0042445A">
        <w:rPr>
          <w:rFonts w:ascii="Arial" w:hAnsi="Arial" w:cs="ProximaNovaA-Regular"/>
          <w:color w:val="3D3D3D"/>
          <w:sz w:val="24"/>
          <w:szCs w:val="24"/>
        </w:rPr>
        <w:instrText>ADDIN CSL_CITATION {"citationItems":[{"id":"ITEM-1","itemData":{"DOI":"10.21873/anticanres.11894","ISSN":"17917530","PMID":"28870906","abstract":"Background/Aim: Knowing the molecular footprint of tumors is a precondition for personalized medicine. For breast cancer, targeted therapies are frequently based on the molecular status of the tissue gained from the primary tumor operation. However, it is unclear whether metastases in different organs maintain the same status. Patients and Methods: We compared the estrogen-(ER), progesterone-(PgR) and HER2/neu receptor status of the primary tumor with brain metastases in a series of 24 consecutive breast cancer patients. Results: 62.5-75% of patients exhibited a constant receptor status between the primary tumor and the brain metastasis, whereas discordance rates of 25-37.5% were found, depending on the receptor. The rate of ER and PgR expression was each 41.6% in the primary tumors and decreased to 12.5% and 16.6% in the brain metastases. In contrast, the rate for Her2+ tumors increased from 41.6% in primary breast cancer to 65.2% in the respective brain metastases. The Ki-67 proliferation index increased significantly from a mean of 21% at the primary tumor site to 60% in brain metastases (p&lt;0.001). All anti-estrogen treated breast tumors lost the estrogen receptor expression in the brain metastases, whereas no Her2/neu conversions occurred after treatment with trastuzumab. Conclusion: In summary, receptor conversion is frequent during disease progression. Therefore, the receptor status of the primary tumor is invalid for planning a therapy targeted against brain metastases, especially after hormone-therapy. In these cases, new tissue collection by biopsy or resection is mandatory for the selection of adequate therapeutic targets and accurate decision-making for systemic therapies.","author":[{"dropping-particle":"","family":"Timmer","given":"Marco","non-dropping-particle":"","parse-names":false,"suffix":""},{"dropping-particle":"","family":"Werner","given":"Jan Michael","non-dropping-particle":"","parse-names":false,"suffix":""},{"dropping-particle":"","family":"Röhn","given":"Gabriele","non-dropping-particle":"","parse-names":false,"suffix":""},{"dropping-particle":"","family":"Ortmann","given":"Monika","non-dropping-particle":"","parse-names":false,"suffix":""},{"dropping-particle":"","family":"Blau","given":"Tobias","non-dropping-particle":"","parse-names":false,"suffix":""},{"dropping-particle":"","family":"Cramer","given":"Christina","non-dropping-particle":"","parse-names":false,"suffix":""},{"dropping-particle":"","family":"Stavrinou","given":"Pantelis","non-dropping-particle":"","parse-names":false,"suffix":""},{"dropping-particle":"","family":"Krischek","given":"Boris","non-dropping-particle":"","parse-names":false,"suffix":""},{"dropping-particle":"","family":"Mallman","given":"Peter","non-dropping-particle":"","parse-names":false,"suffix":""},{"dropping-particle":"","family":"Goldbrunner","given":"Roland","non-dropping-particle":"","parse-names":false,"suffix":""}],"container-title":"Anticancer Research","id":"ITEM-1","issue":"9","issued":{"date-parts":[["2017","9","1"]]},"page":"4859-4865","publisher":"International Institute of Anticancer Research","title":"Discordance and conversion rates of progesterone-, estrogen-, and HER2/neu-receptor status in primary breast cancer and brain metastasis mainly triggered by hormone therapy","type":"article-journal","volume":"37"},"uris":["http://www.mendeley.com/documents/?uuid=56a4a673-1fc3-3614-8877-8e5521eb1c5d"]}],"mendeley":{"formattedCitation":"&lt;sup&gt;31&lt;/sup&gt;","plainTextFormattedCitation":"31"},"properties":{"noteIndex":0},"schema":"https://github.com/citation-style-language/schema/raw/master/csl-citation.json"}</w:instrText>
      </w:r>
      <w:r w:rsidR="0042445A">
        <w:rPr>
          <w:rFonts w:ascii="Arial" w:hAnsi="Arial" w:cs="ProximaNovaA-Regular"/>
          <w:color w:val="3D3D3D"/>
          <w:sz w:val="24"/>
          <w:szCs w:val="24"/>
        </w:rPr>
        <w:fldChar w:fldCharType="separate"/>
      </w:r>
      <w:r w:rsidR="0042445A" w:rsidRPr="0042445A">
        <w:rPr>
          <w:rFonts w:ascii="Arial" w:hAnsi="Arial" w:cs="ProximaNovaA-Regular"/>
          <w:noProof/>
          <w:color w:val="3D3D3D"/>
          <w:sz w:val="24"/>
          <w:szCs w:val="24"/>
          <w:vertAlign w:val="superscript"/>
        </w:rPr>
        <w:t>31</w:t>
      </w:r>
      <w:r w:rsidR="0042445A">
        <w:rPr>
          <w:rFonts w:ascii="Arial" w:hAnsi="Arial" w:cs="ProximaNovaA-Regular"/>
          <w:color w:val="3D3D3D"/>
          <w:sz w:val="24"/>
          <w:szCs w:val="24"/>
        </w:rPr>
        <w:fldChar w:fldCharType="end"/>
      </w:r>
      <w:r w:rsidR="00E70491">
        <w:rPr>
          <w:rFonts w:ascii="ProximaNovaA-Regular" w:hAnsi="ProximaNovaA-Regular" w:cs="ProximaNovaA-Regular"/>
          <w:color w:val="3D3D3D"/>
          <w:sz w:val="32"/>
          <w:szCs w:val="32"/>
        </w:rPr>
        <w:t xml:space="preserve"> </w:t>
      </w:r>
    </w:p>
    <w:p w14:paraId="35463B24" w14:textId="77777777" w:rsidR="00021EF1" w:rsidRDefault="00835C2A" w:rsidP="00EA7F37">
      <w:pPr>
        <w:widowControl w:val="0"/>
        <w:autoSpaceDE w:val="0"/>
        <w:autoSpaceDN w:val="0"/>
        <w:adjustRightInd w:val="0"/>
        <w:spacing w:after="120" w:line="360" w:lineRule="auto"/>
        <w:jc w:val="both"/>
        <w:rPr>
          <w:rFonts w:ascii="Arial" w:hAnsi="Arial" w:cs="Arial"/>
          <w:color w:val="3A3A3A"/>
          <w:sz w:val="24"/>
          <w:szCs w:val="24"/>
        </w:rPr>
      </w:pPr>
      <w:r>
        <w:rPr>
          <w:rFonts w:ascii="Arial" w:hAnsi="Arial" w:cs="Arial"/>
          <w:color w:val="3A3A3A"/>
          <w:sz w:val="24"/>
          <w:szCs w:val="24"/>
        </w:rPr>
        <w:t>Für die</w:t>
      </w:r>
      <w:r w:rsidR="00314528">
        <w:rPr>
          <w:rFonts w:ascii="Arial" w:hAnsi="Arial" w:cs="Arial"/>
          <w:color w:val="3A3A3A"/>
          <w:sz w:val="24"/>
          <w:szCs w:val="24"/>
        </w:rPr>
        <w:t xml:space="preserve"> Situation der </w:t>
      </w:r>
      <w:r w:rsidR="00952E8E">
        <w:rPr>
          <w:rFonts w:ascii="Arial" w:hAnsi="Arial" w:cs="Arial"/>
          <w:color w:val="3A3A3A"/>
          <w:sz w:val="24"/>
          <w:szCs w:val="24"/>
        </w:rPr>
        <w:t>sogenannte</w:t>
      </w:r>
      <w:r w:rsidR="00314528">
        <w:rPr>
          <w:rFonts w:ascii="Arial" w:hAnsi="Arial" w:cs="Arial"/>
          <w:color w:val="3A3A3A"/>
          <w:sz w:val="24"/>
          <w:szCs w:val="24"/>
        </w:rPr>
        <w:t>n</w:t>
      </w:r>
      <w:r w:rsidR="00952E8E">
        <w:rPr>
          <w:rFonts w:ascii="Arial" w:hAnsi="Arial" w:cs="Arial"/>
          <w:color w:val="3A3A3A"/>
          <w:sz w:val="24"/>
          <w:szCs w:val="24"/>
        </w:rPr>
        <w:t xml:space="preserve"> Oligometastasierung (≤5 in ≤3 Organsystemen)</w:t>
      </w:r>
      <w:r w:rsidR="002E4B3B">
        <w:rPr>
          <w:rFonts w:ascii="Arial" w:hAnsi="Arial" w:cs="Arial"/>
          <w:color w:val="3A3A3A"/>
          <w:sz w:val="24"/>
          <w:szCs w:val="24"/>
        </w:rPr>
        <w:t xml:space="preserve"> mit Beteiligung des ZNS </w:t>
      </w:r>
      <w:r>
        <w:rPr>
          <w:rFonts w:ascii="Arial" w:hAnsi="Arial" w:cs="Arial"/>
          <w:color w:val="3A3A3A"/>
          <w:sz w:val="24"/>
          <w:szCs w:val="24"/>
        </w:rPr>
        <w:t xml:space="preserve">ist die Rolle der </w:t>
      </w:r>
      <w:r w:rsidR="005B56E3">
        <w:rPr>
          <w:rFonts w:ascii="Arial" w:hAnsi="Arial" w:cs="Arial"/>
          <w:color w:val="3A3A3A"/>
          <w:sz w:val="24"/>
          <w:szCs w:val="24"/>
        </w:rPr>
        <w:t>zusätzlich</w:t>
      </w:r>
      <w:r>
        <w:rPr>
          <w:rFonts w:ascii="Arial" w:hAnsi="Arial" w:cs="Arial"/>
          <w:color w:val="3A3A3A"/>
          <w:sz w:val="24"/>
          <w:szCs w:val="24"/>
        </w:rPr>
        <w:t>en</w:t>
      </w:r>
      <w:r w:rsidR="005B56E3">
        <w:rPr>
          <w:rFonts w:ascii="Arial" w:hAnsi="Arial" w:cs="Arial"/>
          <w:color w:val="3A3A3A"/>
          <w:sz w:val="24"/>
          <w:szCs w:val="24"/>
        </w:rPr>
        <w:t xml:space="preserve"> </w:t>
      </w:r>
      <w:r>
        <w:rPr>
          <w:rFonts w:ascii="Arial" w:hAnsi="Arial" w:cs="Arial"/>
          <w:color w:val="3A3A3A"/>
          <w:sz w:val="24"/>
          <w:szCs w:val="24"/>
        </w:rPr>
        <w:t>(</w:t>
      </w:r>
      <w:r w:rsidR="005B56E3">
        <w:rPr>
          <w:rFonts w:ascii="Arial" w:hAnsi="Arial" w:cs="Arial"/>
          <w:color w:val="3A3A3A"/>
          <w:sz w:val="24"/>
          <w:szCs w:val="24"/>
        </w:rPr>
        <w:t xml:space="preserve">zu den </w:t>
      </w:r>
      <w:r w:rsidR="002E4B3B">
        <w:rPr>
          <w:rFonts w:ascii="Arial" w:hAnsi="Arial" w:cs="Arial"/>
          <w:color w:val="3A3A3A"/>
          <w:sz w:val="24"/>
          <w:szCs w:val="24"/>
        </w:rPr>
        <w:t>primär</w:t>
      </w:r>
      <w:r w:rsidR="00314528">
        <w:rPr>
          <w:rFonts w:ascii="Arial" w:hAnsi="Arial" w:cs="Arial"/>
          <w:color w:val="3A3A3A"/>
          <w:sz w:val="24"/>
          <w:szCs w:val="24"/>
        </w:rPr>
        <w:t xml:space="preserve"> lokale</w:t>
      </w:r>
      <w:r w:rsidR="005B56E3">
        <w:rPr>
          <w:rFonts w:ascii="Arial" w:hAnsi="Arial" w:cs="Arial"/>
          <w:color w:val="3A3A3A"/>
          <w:sz w:val="24"/>
          <w:szCs w:val="24"/>
        </w:rPr>
        <w:t>n</w:t>
      </w:r>
      <w:r w:rsidR="00314528">
        <w:rPr>
          <w:rFonts w:ascii="Arial" w:hAnsi="Arial" w:cs="Arial"/>
          <w:color w:val="3A3A3A"/>
          <w:sz w:val="24"/>
          <w:szCs w:val="24"/>
        </w:rPr>
        <w:t xml:space="preserve"> Maßnahmen</w:t>
      </w:r>
      <w:r>
        <w:rPr>
          <w:rFonts w:ascii="Arial" w:hAnsi="Arial" w:cs="Arial"/>
          <w:color w:val="3A3A3A"/>
          <w:sz w:val="24"/>
          <w:szCs w:val="24"/>
        </w:rPr>
        <w:t xml:space="preserve">) Systemtherapie noch </w:t>
      </w:r>
      <w:r w:rsidRPr="005F6D99">
        <w:rPr>
          <w:rFonts w:ascii="Arial" w:hAnsi="Arial" w:cs="Arial"/>
          <w:color w:val="3A3A3A"/>
          <w:sz w:val="24"/>
          <w:szCs w:val="24"/>
        </w:rPr>
        <w:t>zu definieren.</w:t>
      </w:r>
      <w:r w:rsidR="005B56E3" w:rsidRPr="005F6D99">
        <w:rPr>
          <w:rFonts w:ascii="Arial" w:hAnsi="Arial" w:cs="Arial"/>
          <w:color w:val="3A3A3A"/>
          <w:sz w:val="24"/>
          <w:szCs w:val="24"/>
        </w:rPr>
        <w:t xml:space="preserve"> </w:t>
      </w:r>
    </w:p>
    <w:p w14:paraId="78C9D78F" w14:textId="7DFBFA2E" w:rsidR="00FE3114" w:rsidRPr="001410BF" w:rsidRDefault="00410881" w:rsidP="00296B51">
      <w:pPr>
        <w:widowControl w:val="0"/>
        <w:autoSpaceDE w:val="0"/>
        <w:autoSpaceDN w:val="0"/>
        <w:adjustRightInd w:val="0"/>
        <w:spacing w:after="120" w:line="360" w:lineRule="auto"/>
        <w:jc w:val="both"/>
        <w:rPr>
          <w:rFonts w:ascii="Arial" w:hAnsi="Arial" w:cs="Arial"/>
          <w:color w:val="3A3A3A"/>
          <w:sz w:val="24"/>
          <w:szCs w:val="24"/>
        </w:rPr>
      </w:pPr>
      <w:r>
        <w:rPr>
          <w:rFonts w:ascii="Arial" w:hAnsi="Arial" w:cs="Arial"/>
          <w:color w:val="3A3A3A"/>
          <w:sz w:val="24"/>
          <w:szCs w:val="24"/>
        </w:rPr>
        <w:t xml:space="preserve">Zu </w:t>
      </w:r>
      <w:r w:rsidR="00371C76" w:rsidRPr="00EA7F37">
        <w:rPr>
          <w:rFonts w:ascii="Arial" w:hAnsi="Arial" w:cs="Arial"/>
          <w:color w:val="3A3A3A"/>
          <w:sz w:val="24"/>
          <w:szCs w:val="24"/>
        </w:rPr>
        <w:t xml:space="preserve">den </w:t>
      </w:r>
      <w:r>
        <w:rPr>
          <w:rFonts w:ascii="Arial" w:hAnsi="Arial" w:cs="Arial"/>
          <w:color w:val="3A3A3A"/>
          <w:sz w:val="24"/>
          <w:szCs w:val="24"/>
        </w:rPr>
        <w:t xml:space="preserve">ZNS-gängigen </w:t>
      </w:r>
      <w:r w:rsidR="00371C76" w:rsidRPr="00EA7F37">
        <w:rPr>
          <w:rFonts w:ascii="Arial" w:hAnsi="Arial" w:cs="Arial"/>
          <w:color w:val="3A3A3A"/>
          <w:sz w:val="24"/>
          <w:szCs w:val="24"/>
        </w:rPr>
        <w:t>Chemotherapeutika</w:t>
      </w:r>
      <w:r>
        <w:rPr>
          <w:rFonts w:ascii="Arial" w:hAnsi="Arial" w:cs="Arial"/>
          <w:color w:val="3A3A3A"/>
          <w:sz w:val="24"/>
          <w:szCs w:val="24"/>
        </w:rPr>
        <w:t xml:space="preserve"> </w:t>
      </w:r>
      <w:r w:rsidR="009F412F">
        <w:rPr>
          <w:rFonts w:ascii="Arial" w:hAnsi="Arial" w:cs="Arial"/>
          <w:color w:val="3A3A3A"/>
          <w:sz w:val="24"/>
          <w:szCs w:val="24"/>
        </w:rPr>
        <w:t xml:space="preserve">mit </w:t>
      </w:r>
      <w:r w:rsidR="00630DEB">
        <w:rPr>
          <w:rFonts w:ascii="Arial" w:hAnsi="Arial" w:cs="Arial"/>
          <w:color w:val="3A3A3A"/>
          <w:sz w:val="24"/>
          <w:szCs w:val="24"/>
        </w:rPr>
        <w:t xml:space="preserve">erreichten </w:t>
      </w:r>
      <w:r w:rsidR="009F412F">
        <w:rPr>
          <w:rFonts w:ascii="Arial" w:hAnsi="Arial" w:cs="Arial"/>
          <w:color w:val="3A3A3A"/>
          <w:sz w:val="24"/>
          <w:szCs w:val="24"/>
        </w:rPr>
        <w:t xml:space="preserve">≥30% des Serumspiegels zählen </w:t>
      </w:r>
      <w:r w:rsidR="009E2579">
        <w:rPr>
          <w:rFonts w:ascii="Arial" w:hAnsi="Arial" w:cs="Arial"/>
          <w:color w:val="3A3A3A"/>
          <w:sz w:val="24"/>
          <w:szCs w:val="24"/>
        </w:rPr>
        <w:t xml:space="preserve">Nitrosoharnstoffe, Cytosinarabinosid, Temozolomid, </w:t>
      </w:r>
      <w:r w:rsidR="000E1DCC">
        <w:rPr>
          <w:rFonts w:ascii="Arial" w:hAnsi="Arial" w:cs="Arial"/>
          <w:color w:val="3A3A3A"/>
          <w:sz w:val="24"/>
          <w:szCs w:val="24"/>
        </w:rPr>
        <w:t xml:space="preserve">Thiotepa, Ifosfamid, Topotecan; zu denen mit </w:t>
      </w:r>
      <w:r w:rsidR="009E2579">
        <w:rPr>
          <w:rFonts w:ascii="Arial" w:hAnsi="Arial" w:cs="Arial"/>
          <w:color w:val="3A3A3A"/>
          <w:sz w:val="24"/>
          <w:szCs w:val="24"/>
        </w:rPr>
        <w:t>≥</w:t>
      </w:r>
      <w:r w:rsidR="000E1DCC">
        <w:rPr>
          <w:rFonts w:ascii="Arial" w:hAnsi="Arial" w:cs="Arial"/>
          <w:color w:val="3A3A3A"/>
          <w:sz w:val="24"/>
          <w:szCs w:val="24"/>
        </w:rPr>
        <w:t xml:space="preserve">1-2% </w:t>
      </w:r>
      <w:r w:rsidR="003F3ED4">
        <w:rPr>
          <w:rFonts w:ascii="Arial" w:hAnsi="Arial" w:cs="Arial"/>
          <w:color w:val="3A3A3A"/>
          <w:sz w:val="24"/>
          <w:szCs w:val="24"/>
        </w:rPr>
        <w:t xml:space="preserve">gehören z. B. </w:t>
      </w:r>
      <w:r w:rsidR="000E1DCC">
        <w:rPr>
          <w:rFonts w:ascii="Arial" w:hAnsi="Arial" w:cs="Arial"/>
          <w:color w:val="3A3A3A"/>
          <w:sz w:val="24"/>
          <w:szCs w:val="24"/>
        </w:rPr>
        <w:t>Idarubicin, Methotrexat</w:t>
      </w:r>
      <w:r w:rsidR="00630DEB">
        <w:rPr>
          <w:rFonts w:ascii="Arial" w:hAnsi="Arial" w:cs="Arial"/>
          <w:color w:val="3A3A3A"/>
          <w:sz w:val="24"/>
          <w:szCs w:val="24"/>
        </w:rPr>
        <w:t xml:space="preserve"> und </w:t>
      </w:r>
      <w:r w:rsidR="003F3ED4">
        <w:rPr>
          <w:rFonts w:ascii="Arial" w:hAnsi="Arial" w:cs="Arial"/>
          <w:color w:val="3A3A3A"/>
          <w:sz w:val="24"/>
          <w:szCs w:val="24"/>
        </w:rPr>
        <w:t>Cyclophosphamid. Bei aufgehobener Blut-Hirnschranke</w:t>
      </w:r>
      <w:r w:rsidR="00CB7DD0">
        <w:rPr>
          <w:rFonts w:ascii="Arial" w:hAnsi="Arial" w:cs="Arial"/>
          <w:color w:val="3A3A3A"/>
          <w:sz w:val="24"/>
          <w:szCs w:val="24"/>
        </w:rPr>
        <w:t xml:space="preserve"> (anzunehmen</w:t>
      </w:r>
      <w:r w:rsidR="00630DEB">
        <w:rPr>
          <w:rFonts w:ascii="Arial" w:hAnsi="Arial" w:cs="Arial"/>
          <w:color w:val="3A3A3A"/>
          <w:sz w:val="24"/>
          <w:szCs w:val="24"/>
        </w:rPr>
        <w:t xml:space="preserve"> bei Metastasengröße &gt;2cm</w:t>
      </w:r>
      <w:r w:rsidR="00BB5DCD">
        <w:rPr>
          <w:rFonts w:ascii="Arial" w:hAnsi="Arial" w:cs="Arial"/>
          <w:color w:val="3A3A3A"/>
          <w:sz w:val="24"/>
          <w:szCs w:val="24"/>
        </w:rPr>
        <w:t>, Schrankenstörung in der Bildgebung</w:t>
      </w:r>
      <w:r w:rsidR="00630DEB">
        <w:rPr>
          <w:rFonts w:ascii="Arial" w:hAnsi="Arial" w:cs="Arial"/>
          <w:color w:val="3A3A3A"/>
          <w:sz w:val="24"/>
          <w:szCs w:val="24"/>
        </w:rPr>
        <w:t>)</w:t>
      </w:r>
      <w:r w:rsidR="00BB5DCD">
        <w:rPr>
          <w:rFonts w:ascii="Arial" w:hAnsi="Arial" w:cs="Arial"/>
          <w:color w:val="3A3A3A"/>
          <w:sz w:val="24"/>
          <w:szCs w:val="24"/>
        </w:rPr>
        <w:t xml:space="preserve"> können auch ansonsten nicht ZNS-gängige Zytostatika wirksam sein. </w:t>
      </w:r>
      <w:r w:rsidR="00A84B97">
        <w:rPr>
          <w:rFonts w:ascii="Arial" w:hAnsi="Arial" w:cs="Arial"/>
          <w:color w:val="3A3A3A"/>
          <w:sz w:val="24"/>
          <w:szCs w:val="24"/>
        </w:rPr>
        <w:t>K</w:t>
      </w:r>
      <w:r w:rsidR="00A84B97" w:rsidRPr="00247B32">
        <w:rPr>
          <w:rFonts w:ascii="Arial" w:hAnsi="Arial" w:cs="Arial"/>
          <w:color w:val="3A3A3A"/>
          <w:sz w:val="24"/>
          <w:szCs w:val="24"/>
        </w:rPr>
        <w:t xml:space="preserve">leinmolekulare </w:t>
      </w:r>
      <w:r w:rsidR="00921E34">
        <w:rPr>
          <w:rFonts w:ascii="Arial" w:hAnsi="Arial" w:cs="Arial"/>
          <w:color w:val="3A3A3A"/>
          <w:sz w:val="24"/>
          <w:szCs w:val="24"/>
        </w:rPr>
        <w:t xml:space="preserve">Inhibitoren der </w:t>
      </w:r>
      <w:r w:rsidR="00A84B97" w:rsidRPr="00247B32">
        <w:rPr>
          <w:rFonts w:ascii="Arial" w:hAnsi="Arial" w:cs="Arial"/>
          <w:color w:val="3A3A3A"/>
          <w:sz w:val="24"/>
          <w:szCs w:val="24"/>
        </w:rPr>
        <w:t>Signaltransduktion</w:t>
      </w:r>
      <w:r w:rsidR="00A84B97">
        <w:rPr>
          <w:rFonts w:ascii="Arial" w:hAnsi="Arial" w:cs="Arial"/>
          <w:color w:val="3A3A3A"/>
          <w:sz w:val="24"/>
          <w:szCs w:val="24"/>
        </w:rPr>
        <w:t xml:space="preserve"> </w:t>
      </w:r>
      <w:r w:rsidR="00AF7B22">
        <w:rPr>
          <w:rFonts w:ascii="Arial" w:hAnsi="Arial" w:cs="Arial"/>
          <w:color w:val="3A3A3A"/>
          <w:sz w:val="24"/>
          <w:szCs w:val="24"/>
        </w:rPr>
        <w:t xml:space="preserve">erreichen </w:t>
      </w:r>
      <w:r w:rsidR="00921E34">
        <w:rPr>
          <w:rFonts w:ascii="Arial" w:hAnsi="Arial" w:cs="Arial"/>
          <w:color w:val="3A3A3A"/>
          <w:sz w:val="24"/>
          <w:szCs w:val="24"/>
        </w:rPr>
        <w:t xml:space="preserve">selbst bei intakter Blut-Hirnschranke die </w:t>
      </w:r>
      <w:r w:rsidR="00AF7B22">
        <w:rPr>
          <w:rFonts w:ascii="Arial" w:hAnsi="Arial" w:cs="Arial"/>
          <w:color w:val="3A3A3A"/>
          <w:sz w:val="24"/>
          <w:szCs w:val="24"/>
        </w:rPr>
        <w:t>zerebrale</w:t>
      </w:r>
      <w:r w:rsidR="00DF1FF3">
        <w:rPr>
          <w:rFonts w:ascii="Arial" w:hAnsi="Arial" w:cs="Arial"/>
          <w:color w:val="3A3A3A"/>
          <w:sz w:val="24"/>
          <w:szCs w:val="24"/>
        </w:rPr>
        <w:t>n</w:t>
      </w:r>
      <w:r w:rsidR="00AF7B22">
        <w:rPr>
          <w:rFonts w:ascii="Arial" w:hAnsi="Arial" w:cs="Arial"/>
          <w:color w:val="3A3A3A"/>
          <w:sz w:val="24"/>
          <w:szCs w:val="24"/>
        </w:rPr>
        <w:t xml:space="preserve"> Tumorzellen sehr gut</w:t>
      </w:r>
      <w:r w:rsidR="0015115A">
        <w:rPr>
          <w:rFonts w:ascii="Arial" w:hAnsi="Arial" w:cs="Arial"/>
          <w:color w:val="3A3A3A"/>
          <w:sz w:val="24"/>
          <w:szCs w:val="24"/>
        </w:rPr>
        <w:t xml:space="preserve"> und </w:t>
      </w:r>
      <w:r w:rsidR="00921E34">
        <w:rPr>
          <w:rFonts w:ascii="Arial" w:hAnsi="Arial" w:cs="Arial"/>
          <w:color w:val="3A3A3A"/>
          <w:sz w:val="24"/>
          <w:szCs w:val="24"/>
        </w:rPr>
        <w:t>stellen daher hoffnungsvolle Ansätze zur Prävention dieser Manifestationen dar. M</w:t>
      </w:r>
      <w:r w:rsidR="00AF7B22">
        <w:rPr>
          <w:rFonts w:ascii="Arial" w:hAnsi="Arial" w:cs="Arial"/>
          <w:color w:val="3A3A3A"/>
          <w:sz w:val="24"/>
          <w:szCs w:val="24"/>
        </w:rPr>
        <w:t xml:space="preserve">onoklonale </w:t>
      </w:r>
      <w:r w:rsidR="00AF7B22" w:rsidRPr="00AF7B22">
        <w:rPr>
          <w:rFonts w:ascii="Arial" w:hAnsi="Arial" w:cs="Arial"/>
          <w:color w:val="3A3A3A"/>
          <w:sz w:val="24"/>
          <w:szCs w:val="24"/>
        </w:rPr>
        <w:t>Antikö</w:t>
      </w:r>
      <w:r w:rsidR="00371C76" w:rsidRPr="00BD6A3B">
        <w:rPr>
          <w:rFonts w:ascii="Arial" w:hAnsi="Arial" w:cs="Arial"/>
          <w:color w:val="3A3A3A"/>
          <w:sz w:val="24"/>
          <w:szCs w:val="24"/>
        </w:rPr>
        <w:t xml:space="preserve">rper </w:t>
      </w:r>
      <w:r w:rsidR="00CB7DD0">
        <w:rPr>
          <w:rFonts w:ascii="Arial" w:hAnsi="Arial" w:cs="Arial"/>
          <w:color w:val="3A3A3A"/>
          <w:sz w:val="24"/>
          <w:szCs w:val="24"/>
        </w:rPr>
        <w:t xml:space="preserve">sind </w:t>
      </w:r>
      <w:r w:rsidR="00AF7B22">
        <w:rPr>
          <w:rFonts w:ascii="Arial" w:hAnsi="Arial" w:cs="Arial"/>
          <w:color w:val="3A3A3A"/>
          <w:sz w:val="24"/>
          <w:szCs w:val="24"/>
        </w:rPr>
        <w:t xml:space="preserve">dagegen </w:t>
      </w:r>
      <w:r w:rsidR="00CB7DD0">
        <w:rPr>
          <w:rFonts w:ascii="Arial" w:hAnsi="Arial" w:cs="Arial"/>
          <w:color w:val="3A3A3A"/>
          <w:sz w:val="24"/>
          <w:szCs w:val="24"/>
        </w:rPr>
        <w:t xml:space="preserve">bzgl. ihrer Liquorgängigkeit </w:t>
      </w:r>
      <w:r w:rsidR="007418DC">
        <w:rPr>
          <w:rFonts w:ascii="Arial" w:hAnsi="Arial" w:cs="Arial"/>
          <w:color w:val="3A3A3A"/>
          <w:sz w:val="24"/>
          <w:szCs w:val="24"/>
        </w:rPr>
        <w:t xml:space="preserve">sehr </w:t>
      </w:r>
      <w:r w:rsidR="00800855">
        <w:rPr>
          <w:rFonts w:ascii="Arial" w:hAnsi="Arial" w:cs="Arial"/>
          <w:color w:val="3A3A3A"/>
          <w:sz w:val="24"/>
          <w:szCs w:val="24"/>
        </w:rPr>
        <w:t xml:space="preserve">variabel. </w:t>
      </w:r>
      <w:r w:rsidR="00C042F7">
        <w:rPr>
          <w:rFonts w:ascii="Arial" w:hAnsi="Arial" w:cs="Arial"/>
          <w:color w:val="3A3A3A"/>
          <w:sz w:val="24"/>
          <w:szCs w:val="24"/>
        </w:rPr>
        <w:t>Über den Plexus chor</w:t>
      </w:r>
      <w:r w:rsidR="00311D0B">
        <w:rPr>
          <w:rFonts w:ascii="Arial" w:hAnsi="Arial" w:cs="Arial"/>
          <w:color w:val="3A3A3A"/>
          <w:sz w:val="24"/>
          <w:szCs w:val="24"/>
        </w:rPr>
        <w:t xml:space="preserve">oideus scheint ein selektiver Immunzelltransport </w:t>
      </w:r>
      <w:r w:rsidR="00C042F7">
        <w:rPr>
          <w:rFonts w:ascii="Arial" w:hAnsi="Arial" w:cs="Arial"/>
          <w:color w:val="3A3A3A"/>
          <w:sz w:val="24"/>
          <w:szCs w:val="24"/>
        </w:rPr>
        <w:t xml:space="preserve">möglich und erste Studien haben die Wirksamkeit von </w:t>
      </w:r>
      <w:r w:rsidR="00616A12">
        <w:rPr>
          <w:rFonts w:ascii="Arial" w:hAnsi="Arial" w:cs="Arial"/>
          <w:color w:val="3A3A3A"/>
          <w:sz w:val="24"/>
          <w:szCs w:val="24"/>
        </w:rPr>
        <w:t>Immunmodulatoren auf Hirnmetastasen bewiesen.</w:t>
      </w:r>
      <w:r w:rsidR="00C042F7">
        <w:rPr>
          <w:rFonts w:ascii="Arial" w:hAnsi="Arial" w:cs="Arial"/>
          <w:color w:val="3A3A3A"/>
          <w:sz w:val="24"/>
          <w:szCs w:val="24"/>
        </w:rPr>
        <w:t xml:space="preserve"> </w:t>
      </w:r>
      <w:r w:rsidR="00311D0B">
        <w:rPr>
          <w:rFonts w:ascii="Arial" w:hAnsi="Arial" w:cs="Arial"/>
          <w:color w:val="3A3A3A"/>
          <w:sz w:val="24"/>
          <w:szCs w:val="24"/>
        </w:rPr>
        <w:t xml:space="preserve"> </w:t>
      </w:r>
    </w:p>
    <w:p w14:paraId="264C5257" w14:textId="6088E44C" w:rsidR="005C23FC" w:rsidRPr="001410BF" w:rsidRDefault="005C23FC" w:rsidP="00BD6A3B">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eastAsia="Times New Roman"/>
          <w:i/>
          <w:color w:val="000000"/>
          <w:u w:val="single"/>
          <w:lang w:val="de-AT" w:eastAsia="de-AT"/>
        </w:rPr>
      </w:pPr>
      <w:r w:rsidRPr="001410BF">
        <w:rPr>
          <w:rFonts w:eastAsia="Times New Roman"/>
          <w:i/>
          <w:color w:val="000000"/>
          <w:u w:val="single"/>
          <w:lang w:val="de-AT" w:eastAsia="de-AT"/>
        </w:rPr>
        <w:t>Bronchialkarzinom</w:t>
      </w:r>
    </w:p>
    <w:p w14:paraId="4D5C332E" w14:textId="14FF7948" w:rsidR="006E2B11" w:rsidRPr="008131F5" w:rsidRDefault="001F26D8" w:rsidP="009C0E04">
      <w:pPr>
        <w:widowControl w:val="0"/>
        <w:autoSpaceDE w:val="0"/>
        <w:autoSpaceDN w:val="0"/>
        <w:adjustRightInd w:val="0"/>
        <w:spacing w:after="120" w:line="360" w:lineRule="auto"/>
        <w:jc w:val="both"/>
        <w:rPr>
          <w:rFonts w:ascii="Arial" w:hAnsi="Arial" w:cs="Arial"/>
          <w:color w:val="3A3A3A"/>
          <w:sz w:val="24"/>
          <w:szCs w:val="24"/>
        </w:rPr>
      </w:pPr>
      <w:r w:rsidRPr="001636AE">
        <w:rPr>
          <w:rFonts w:ascii="Arial" w:hAnsi="Arial" w:cs="Arial"/>
          <w:color w:val="3A3A3A"/>
          <w:sz w:val="24"/>
          <w:szCs w:val="24"/>
        </w:rPr>
        <w:t xml:space="preserve">Bei den </w:t>
      </w:r>
      <w:r w:rsidR="004D49C1" w:rsidRPr="00AD60EB">
        <w:rPr>
          <w:rFonts w:ascii="Arial" w:hAnsi="Arial" w:cs="Arial"/>
          <w:color w:val="3A3A3A"/>
          <w:sz w:val="24"/>
          <w:szCs w:val="24"/>
        </w:rPr>
        <w:t>Lungenkarzinomen sind synchrone Hirnmetastasen</w:t>
      </w:r>
      <w:r w:rsidR="0084505A">
        <w:rPr>
          <w:rFonts w:ascii="Arial" w:hAnsi="Arial" w:cs="Arial"/>
          <w:color w:val="3A3A3A"/>
          <w:sz w:val="24"/>
          <w:szCs w:val="24"/>
        </w:rPr>
        <w:t xml:space="preserve"> sehr</w:t>
      </w:r>
      <w:r w:rsidR="004D49C1" w:rsidRPr="00AD60EB">
        <w:rPr>
          <w:rFonts w:ascii="Arial" w:hAnsi="Arial" w:cs="Arial"/>
          <w:color w:val="3A3A3A"/>
          <w:sz w:val="24"/>
          <w:szCs w:val="24"/>
        </w:rPr>
        <w:t xml:space="preserve"> häufig. </w:t>
      </w:r>
      <w:r w:rsidR="001636AE">
        <w:rPr>
          <w:rFonts w:ascii="Arial" w:hAnsi="Arial" w:cs="Arial"/>
          <w:color w:val="3A3A3A"/>
          <w:sz w:val="24"/>
          <w:szCs w:val="24"/>
        </w:rPr>
        <w:t xml:space="preserve">Die beim kleinzelligen Karzinom umgehende systemische Chemo(immun)therapie </w:t>
      </w:r>
      <w:r w:rsidR="00ED48F3">
        <w:rPr>
          <w:rFonts w:ascii="Arial" w:hAnsi="Arial" w:cs="Arial"/>
          <w:color w:val="3A3A3A"/>
          <w:sz w:val="24"/>
          <w:szCs w:val="24"/>
        </w:rPr>
        <w:t>wirkt</w:t>
      </w:r>
      <w:r w:rsidR="001636AE">
        <w:rPr>
          <w:rFonts w:ascii="Arial" w:hAnsi="Arial" w:cs="Arial"/>
          <w:color w:val="3A3A3A"/>
          <w:sz w:val="24"/>
          <w:szCs w:val="24"/>
        </w:rPr>
        <w:t xml:space="preserve"> </w:t>
      </w:r>
      <w:r w:rsidR="004D49C1" w:rsidRPr="00AD60EB">
        <w:rPr>
          <w:rFonts w:ascii="Arial" w:hAnsi="Arial" w:cs="Arial"/>
          <w:color w:val="3A3A3A"/>
          <w:sz w:val="24"/>
          <w:szCs w:val="24"/>
        </w:rPr>
        <w:t xml:space="preserve">nahezu ausnahmslos </w:t>
      </w:r>
      <w:r w:rsidR="001636AE">
        <w:rPr>
          <w:rFonts w:ascii="Arial" w:hAnsi="Arial" w:cs="Arial"/>
          <w:color w:val="3A3A3A"/>
          <w:sz w:val="24"/>
          <w:szCs w:val="24"/>
        </w:rPr>
        <w:t>auch</w:t>
      </w:r>
      <w:r w:rsidR="00ED48F3">
        <w:rPr>
          <w:rFonts w:ascii="Arial" w:hAnsi="Arial" w:cs="Arial"/>
          <w:color w:val="3A3A3A"/>
          <w:sz w:val="24"/>
          <w:szCs w:val="24"/>
        </w:rPr>
        <w:t xml:space="preserve"> auf</w:t>
      </w:r>
      <w:r w:rsidR="001636AE">
        <w:rPr>
          <w:rFonts w:ascii="Arial" w:hAnsi="Arial" w:cs="Arial"/>
          <w:color w:val="3A3A3A"/>
          <w:sz w:val="24"/>
          <w:szCs w:val="24"/>
        </w:rPr>
        <w:t xml:space="preserve"> bestehende</w:t>
      </w:r>
      <w:r w:rsidR="004D49C1" w:rsidRPr="00AD60EB">
        <w:rPr>
          <w:rFonts w:ascii="Arial" w:hAnsi="Arial" w:cs="Arial"/>
          <w:color w:val="3A3A3A"/>
          <w:sz w:val="24"/>
          <w:szCs w:val="24"/>
        </w:rPr>
        <w:t xml:space="preserve"> zerebrale Metastasen</w:t>
      </w:r>
      <w:r w:rsidR="001636AE">
        <w:rPr>
          <w:rFonts w:ascii="Arial" w:hAnsi="Arial" w:cs="Arial"/>
          <w:color w:val="3A3A3A"/>
          <w:sz w:val="24"/>
          <w:szCs w:val="24"/>
        </w:rPr>
        <w:t>.</w:t>
      </w:r>
      <w:r w:rsidR="00ED48F3">
        <w:rPr>
          <w:rFonts w:ascii="Arial" w:hAnsi="Arial" w:cs="Arial"/>
          <w:color w:val="3A3A3A"/>
          <w:sz w:val="24"/>
          <w:szCs w:val="24"/>
        </w:rPr>
        <w:t xml:space="preserve"> In der Situation einer erreichten Remission ist nachwievor eine primär oder sekundär prophylaktische </w:t>
      </w:r>
      <w:r w:rsidR="00ED48F3" w:rsidRPr="002F6256">
        <w:rPr>
          <w:rFonts w:ascii="Arial" w:hAnsi="Arial" w:cs="Arial"/>
          <w:color w:val="3A3A3A"/>
          <w:sz w:val="24"/>
          <w:szCs w:val="24"/>
        </w:rPr>
        <w:t>WBRT</w:t>
      </w:r>
      <w:r w:rsidR="00ED48F3">
        <w:rPr>
          <w:rFonts w:ascii="Arial" w:hAnsi="Arial" w:cs="Arial"/>
          <w:color w:val="3A3A3A"/>
          <w:sz w:val="24"/>
          <w:szCs w:val="24"/>
        </w:rPr>
        <w:t xml:space="preserve"> Standard.</w:t>
      </w:r>
      <w:r w:rsidR="008844BD">
        <w:rPr>
          <w:rFonts w:ascii="Arial" w:hAnsi="Arial" w:cs="Arial"/>
          <w:color w:val="3A3A3A"/>
          <w:sz w:val="24"/>
          <w:szCs w:val="24"/>
        </w:rPr>
        <w:t xml:space="preserve"> </w:t>
      </w:r>
      <w:r w:rsidR="0084505A" w:rsidRPr="0084505A">
        <w:rPr>
          <w:rFonts w:ascii="Arial" w:hAnsi="Arial" w:cs="Arial"/>
          <w:color w:val="3A3A3A"/>
          <w:sz w:val="24"/>
          <w:szCs w:val="24"/>
        </w:rPr>
        <w:t>Beim n</w:t>
      </w:r>
      <w:r w:rsidR="004D49C1" w:rsidRPr="00AD60EB">
        <w:rPr>
          <w:rFonts w:ascii="Arial" w:hAnsi="Arial" w:cs="Arial"/>
          <w:color w:val="3A3A3A"/>
          <w:sz w:val="24"/>
          <w:szCs w:val="24"/>
        </w:rPr>
        <w:t>ichtkleinzellige</w:t>
      </w:r>
      <w:r w:rsidR="0084505A">
        <w:rPr>
          <w:rFonts w:ascii="Arial" w:hAnsi="Arial" w:cs="Arial"/>
          <w:color w:val="3A3A3A"/>
          <w:sz w:val="24"/>
          <w:szCs w:val="24"/>
        </w:rPr>
        <w:t>n</w:t>
      </w:r>
      <w:r w:rsidR="0084505A" w:rsidRPr="0084505A">
        <w:rPr>
          <w:rFonts w:ascii="Arial" w:hAnsi="Arial" w:cs="Arial"/>
          <w:color w:val="3A3A3A"/>
          <w:sz w:val="24"/>
          <w:szCs w:val="24"/>
        </w:rPr>
        <w:t xml:space="preserve"> Lungenkarzinom</w:t>
      </w:r>
      <w:r w:rsidR="004D49C1" w:rsidRPr="00AD60EB">
        <w:rPr>
          <w:rFonts w:ascii="Arial" w:hAnsi="Arial" w:cs="Arial"/>
          <w:color w:val="3A3A3A"/>
          <w:sz w:val="24"/>
          <w:szCs w:val="24"/>
        </w:rPr>
        <w:t xml:space="preserve"> werden </w:t>
      </w:r>
      <w:r w:rsidR="0084505A">
        <w:rPr>
          <w:rFonts w:ascii="Arial" w:hAnsi="Arial" w:cs="Arial"/>
          <w:color w:val="3A3A3A"/>
          <w:sz w:val="24"/>
          <w:szCs w:val="24"/>
        </w:rPr>
        <w:t xml:space="preserve">Hirnmetastasen </w:t>
      </w:r>
      <w:r w:rsidR="004D49C1" w:rsidRPr="00AD60EB">
        <w:rPr>
          <w:rFonts w:ascii="Arial" w:hAnsi="Arial" w:cs="Arial"/>
          <w:color w:val="3A3A3A"/>
          <w:sz w:val="24"/>
          <w:szCs w:val="24"/>
        </w:rPr>
        <w:t>operiert beziehungswei</w:t>
      </w:r>
      <w:r w:rsidR="0084505A" w:rsidRPr="00CC4489">
        <w:rPr>
          <w:rFonts w:ascii="Arial" w:hAnsi="Arial" w:cs="Arial"/>
          <w:color w:val="3A3A3A"/>
          <w:sz w:val="24"/>
          <w:szCs w:val="24"/>
        </w:rPr>
        <w:t>se einer Strahlentherapie zugefü</w:t>
      </w:r>
      <w:r w:rsidR="004D49C1" w:rsidRPr="00AD60EB">
        <w:rPr>
          <w:rFonts w:ascii="Arial" w:hAnsi="Arial" w:cs="Arial"/>
          <w:color w:val="3A3A3A"/>
          <w:sz w:val="24"/>
          <w:szCs w:val="24"/>
        </w:rPr>
        <w:t xml:space="preserve">hrt. </w:t>
      </w:r>
      <w:r w:rsidR="00CC4489">
        <w:rPr>
          <w:rFonts w:ascii="Arial" w:hAnsi="Arial" w:cs="Arial"/>
          <w:color w:val="3A3A3A"/>
          <w:sz w:val="24"/>
          <w:szCs w:val="24"/>
        </w:rPr>
        <w:t>Es</w:t>
      </w:r>
      <w:r w:rsidR="004D49C1" w:rsidRPr="00AD60EB">
        <w:rPr>
          <w:rFonts w:ascii="Arial" w:hAnsi="Arial" w:cs="Arial"/>
          <w:color w:val="3A3A3A"/>
          <w:sz w:val="24"/>
          <w:szCs w:val="24"/>
        </w:rPr>
        <w:t xml:space="preserve"> folgt </w:t>
      </w:r>
      <w:r w:rsidR="00CC4489">
        <w:rPr>
          <w:rFonts w:ascii="Arial" w:hAnsi="Arial" w:cs="Arial"/>
          <w:color w:val="3A3A3A"/>
          <w:sz w:val="24"/>
          <w:szCs w:val="24"/>
        </w:rPr>
        <w:t xml:space="preserve">zudem </w:t>
      </w:r>
      <w:r w:rsidR="004D49C1" w:rsidRPr="00AD60EB">
        <w:rPr>
          <w:rFonts w:ascii="Arial" w:hAnsi="Arial" w:cs="Arial"/>
          <w:color w:val="3A3A3A"/>
          <w:sz w:val="24"/>
          <w:szCs w:val="24"/>
        </w:rPr>
        <w:t xml:space="preserve">eine systemische </w:t>
      </w:r>
      <w:r w:rsidR="008844BD">
        <w:rPr>
          <w:rFonts w:ascii="Arial" w:hAnsi="Arial" w:cs="Arial"/>
          <w:color w:val="3A3A3A"/>
          <w:sz w:val="24"/>
          <w:szCs w:val="24"/>
        </w:rPr>
        <w:t xml:space="preserve">Therapie, je nach Histologie und Molekulargenetik, mit klassischen </w:t>
      </w:r>
      <w:r w:rsidR="004D49C1" w:rsidRPr="00AD60EB">
        <w:rPr>
          <w:rFonts w:ascii="Arial" w:hAnsi="Arial" w:cs="Arial"/>
          <w:color w:val="3A3A3A"/>
          <w:sz w:val="24"/>
          <w:szCs w:val="24"/>
        </w:rPr>
        <w:t>Chemotherap</w:t>
      </w:r>
      <w:r w:rsidR="008844BD">
        <w:rPr>
          <w:rFonts w:ascii="Arial" w:hAnsi="Arial" w:cs="Arial"/>
          <w:color w:val="3A3A3A"/>
          <w:sz w:val="24"/>
          <w:szCs w:val="24"/>
        </w:rPr>
        <w:t>eutika, sowie inzwischen mit Immuncheckpoint-Inhibitoren oder mit T</w:t>
      </w:r>
      <w:r w:rsidR="004D49C1" w:rsidRPr="00AD60EB">
        <w:rPr>
          <w:rFonts w:ascii="Arial" w:hAnsi="Arial" w:cs="Arial"/>
          <w:color w:val="3A3A3A"/>
          <w:sz w:val="24"/>
          <w:szCs w:val="24"/>
        </w:rPr>
        <w:t>yrosinkinase-Inhibitoren</w:t>
      </w:r>
      <w:r w:rsidR="0012409E">
        <w:rPr>
          <w:rFonts w:ascii="Arial" w:hAnsi="Arial" w:cs="Arial"/>
          <w:color w:val="3A3A3A"/>
          <w:sz w:val="24"/>
          <w:szCs w:val="24"/>
        </w:rPr>
        <w:t xml:space="preserve"> (TKI), </w:t>
      </w:r>
      <w:r w:rsidR="008844BD" w:rsidRPr="000454BE">
        <w:rPr>
          <w:rFonts w:ascii="Arial" w:hAnsi="Arial" w:cs="Arial"/>
          <w:color w:val="3A3A3A"/>
          <w:sz w:val="24"/>
          <w:szCs w:val="24"/>
        </w:rPr>
        <w:t xml:space="preserve">z.B. </w:t>
      </w:r>
      <w:r w:rsidR="004D49C1" w:rsidRPr="006962C3">
        <w:rPr>
          <w:rFonts w:ascii="Arial" w:hAnsi="Arial" w:cs="Arial"/>
          <w:color w:val="3A3A3A"/>
          <w:sz w:val="24"/>
          <w:szCs w:val="24"/>
        </w:rPr>
        <w:t>bei</w:t>
      </w:r>
      <w:r w:rsidR="008844BD" w:rsidRPr="006962C3">
        <w:rPr>
          <w:rFonts w:ascii="Arial" w:hAnsi="Arial" w:cs="Arial"/>
          <w:color w:val="3A3A3A"/>
          <w:sz w:val="24"/>
          <w:szCs w:val="24"/>
        </w:rPr>
        <w:t xml:space="preserve"> Vorliegen einer EGFR</w:t>
      </w:r>
      <w:r w:rsidR="004D49C1" w:rsidRPr="006962C3">
        <w:rPr>
          <w:rFonts w:ascii="Arial" w:hAnsi="Arial" w:cs="Arial"/>
          <w:color w:val="3A3A3A"/>
          <w:sz w:val="24"/>
          <w:szCs w:val="24"/>
        </w:rPr>
        <w:t>-Mutation</w:t>
      </w:r>
      <w:r w:rsidR="008844BD" w:rsidRPr="006962C3">
        <w:rPr>
          <w:rFonts w:ascii="Arial" w:hAnsi="Arial" w:cs="Arial"/>
          <w:color w:val="3A3A3A"/>
          <w:sz w:val="24"/>
          <w:szCs w:val="24"/>
        </w:rPr>
        <w:t xml:space="preserve"> oder eines ALK-</w:t>
      </w:r>
      <w:r w:rsidR="004D49C1" w:rsidRPr="006962C3">
        <w:rPr>
          <w:rFonts w:ascii="Arial" w:hAnsi="Arial" w:cs="Arial"/>
          <w:color w:val="3A3A3A"/>
          <w:sz w:val="24"/>
          <w:szCs w:val="24"/>
        </w:rPr>
        <w:t>Fusionsprotein</w:t>
      </w:r>
      <w:r w:rsidR="0012409E">
        <w:rPr>
          <w:rFonts w:ascii="Arial" w:hAnsi="Arial" w:cs="Arial"/>
          <w:color w:val="3A3A3A"/>
          <w:sz w:val="24"/>
          <w:szCs w:val="24"/>
        </w:rPr>
        <w:t>s</w:t>
      </w:r>
      <w:r w:rsidR="004D49C1" w:rsidRPr="006962C3">
        <w:rPr>
          <w:rFonts w:ascii="Arial" w:hAnsi="Arial" w:cs="Arial"/>
          <w:color w:val="3A3A3A"/>
          <w:sz w:val="24"/>
          <w:szCs w:val="24"/>
        </w:rPr>
        <w:t xml:space="preserve">. </w:t>
      </w:r>
      <w:r w:rsidR="00491900" w:rsidRPr="006962C3">
        <w:rPr>
          <w:rFonts w:ascii="Arial" w:hAnsi="Arial" w:cs="Arial"/>
          <w:color w:val="3A3A3A"/>
          <w:sz w:val="24"/>
          <w:szCs w:val="24"/>
        </w:rPr>
        <w:t xml:space="preserve">Bei initial </w:t>
      </w:r>
      <w:r w:rsidR="008844BD" w:rsidRPr="006962C3">
        <w:rPr>
          <w:rFonts w:ascii="Arial" w:hAnsi="Arial" w:cs="Arial"/>
          <w:color w:val="3A3A3A"/>
          <w:sz w:val="24"/>
          <w:szCs w:val="24"/>
        </w:rPr>
        <w:t>a</w:t>
      </w:r>
      <w:r w:rsidR="0012409E">
        <w:rPr>
          <w:rFonts w:ascii="Arial" w:hAnsi="Arial" w:cs="Arial"/>
          <w:color w:val="3A3A3A"/>
          <w:sz w:val="24"/>
          <w:szCs w:val="24"/>
        </w:rPr>
        <w:t>symptomatischen ZNS-M</w:t>
      </w:r>
      <w:r w:rsidR="004D49C1" w:rsidRPr="006962C3">
        <w:rPr>
          <w:rFonts w:ascii="Arial" w:hAnsi="Arial" w:cs="Arial"/>
          <w:color w:val="3A3A3A"/>
          <w:sz w:val="24"/>
          <w:szCs w:val="24"/>
        </w:rPr>
        <w:t xml:space="preserve">etastasen </w:t>
      </w:r>
      <w:r w:rsidR="008844BD" w:rsidRPr="006962C3">
        <w:rPr>
          <w:rFonts w:ascii="Arial" w:hAnsi="Arial" w:cs="Arial"/>
          <w:color w:val="3A3A3A"/>
          <w:sz w:val="24"/>
          <w:szCs w:val="24"/>
        </w:rPr>
        <w:t xml:space="preserve">kann deren Lokaltherapie </w:t>
      </w:r>
      <w:r w:rsidR="004D49C1" w:rsidRPr="006962C3">
        <w:rPr>
          <w:rFonts w:ascii="Arial" w:hAnsi="Arial" w:cs="Arial"/>
          <w:color w:val="3A3A3A"/>
          <w:sz w:val="24"/>
          <w:szCs w:val="24"/>
        </w:rPr>
        <w:t>aufgeschoben werden</w:t>
      </w:r>
      <w:r w:rsidR="00491900" w:rsidRPr="006962C3">
        <w:rPr>
          <w:rFonts w:ascii="Arial" w:hAnsi="Arial" w:cs="Arial"/>
          <w:color w:val="3A3A3A"/>
          <w:sz w:val="24"/>
          <w:szCs w:val="24"/>
        </w:rPr>
        <w:t>.</w:t>
      </w:r>
      <w:r w:rsidR="00EF51E2" w:rsidRPr="006962C3">
        <w:rPr>
          <w:rFonts w:ascii="Arial" w:hAnsi="Arial" w:cs="Arial"/>
          <w:color w:val="3A3A3A"/>
          <w:sz w:val="24"/>
          <w:szCs w:val="24"/>
        </w:rPr>
        <w:t xml:space="preserve"> </w:t>
      </w:r>
      <w:r w:rsidR="00EF51E2" w:rsidRPr="006962C3">
        <w:rPr>
          <w:rFonts w:ascii="Arial" w:hAnsi="Arial" w:cs="Arial"/>
          <w:sz w:val="24"/>
          <w:szCs w:val="24"/>
        </w:rPr>
        <w:t>M</w:t>
      </w:r>
      <w:r w:rsidR="004D49C1" w:rsidRPr="006962C3">
        <w:rPr>
          <w:rFonts w:ascii="Arial" w:hAnsi="Arial" w:cs="Arial"/>
          <w:sz w:val="24"/>
          <w:szCs w:val="24"/>
        </w:rPr>
        <w:t xml:space="preserve">ultiple zerebrale Metastasen eines Lungenkarzinoms </w:t>
      </w:r>
      <w:r w:rsidR="00EF51E2" w:rsidRPr="006962C3">
        <w:rPr>
          <w:rFonts w:ascii="Arial" w:hAnsi="Arial" w:cs="Arial"/>
          <w:sz w:val="24"/>
          <w:szCs w:val="24"/>
        </w:rPr>
        <w:t>stellen k</w:t>
      </w:r>
      <w:r w:rsidR="004D49C1" w:rsidRPr="006962C3">
        <w:rPr>
          <w:rFonts w:ascii="Arial" w:hAnsi="Arial" w:cs="Arial"/>
          <w:sz w:val="24"/>
          <w:szCs w:val="24"/>
        </w:rPr>
        <w:t xml:space="preserve">eine Kontraindikation zur Metastasenchirurgie </w:t>
      </w:r>
      <w:r w:rsidR="00EC592E" w:rsidRPr="006962C3">
        <w:rPr>
          <w:rFonts w:ascii="Arial" w:hAnsi="Arial" w:cs="Arial"/>
          <w:sz w:val="24"/>
          <w:szCs w:val="24"/>
        </w:rPr>
        <w:t xml:space="preserve">mehr </w:t>
      </w:r>
      <w:r w:rsidR="00EF51E2" w:rsidRPr="006962C3">
        <w:rPr>
          <w:rFonts w:ascii="Arial" w:hAnsi="Arial" w:cs="Arial"/>
          <w:sz w:val="24"/>
          <w:szCs w:val="24"/>
        </w:rPr>
        <w:t>dar</w:t>
      </w:r>
      <w:r w:rsidR="004D49C1" w:rsidRPr="006962C3">
        <w:rPr>
          <w:rFonts w:ascii="Arial" w:hAnsi="Arial" w:cs="Arial"/>
          <w:sz w:val="24"/>
          <w:szCs w:val="24"/>
        </w:rPr>
        <w:t xml:space="preserve">. </w:t>
      </w:r>
      <w:r w:rsidR="00EC592E" w:rsidRPr="006962C3">
        <w:rPr>
          <w:rFonts w:ascii="Arial" w:hAnsi="Arial" w:cs="Arial"/>
          <w:sz w:val="24"/>
          <w:szCs w:val="24"/>
        </w:rPr>
        <w:t>Gut abgestimmte</w:t>
      </w:r>
      <w:r w:rsidR="004D49C1" w:rsidRPr="006962C3">
        <w:rPr>
          <w:rFonts w:ascii="Arial" w:hAnsi="Arial" w:cs="Arial"/>
          <w:sz w:val="24"/>
          <w:szCs w:val="24"/>
        </w:rPr>
        <w:t xml:space="preserve"> int</w:t>
      </w:r>
      <w:r w:rsidR="00EC592E" w:rsidRPr="006962C3">
        <w:rPr>
          <w:rFonts w:ascii="Arial" w:hAnsi="Arial" w:cs="Arial"/>
          <w:sz w:val="24"/>
          <w:szCs w:val="24"/>
        </w:rPr>
        <w:t xml:space="preserve">erdisziplinäre Konzepte (Resektion, </w:t>
      </w:r>
      <w:r w:rsidR="00A450D0" w:rsidRPr="006962C3">
        <w:rPr>
          <w:rFonts w:ascii="Arial" w:hAnsi="Arial" w:cs="Arial"/>
          <w:sz w:val="24"/>
          <w:szCs w:val="24"/>
        </w:rPr>
        <w:t xml:space="preserve">moderne </w:t>
      </w:r>
      <w:r w:rsidR="00EC592E" w:rsidRPr="006962C3">
        <w:rPr>
          <w:rFonts w:ascii="Arial" w:hAnsi="Arial" w:cs="Arial"/>
          <w:sz w:val="24"/>
          <w:szCs w:val="24"/>
        </w:rPr>
        <w:t>S</w:t>
      </w:r>
      <w:r w:rsidR="004D49C1" w:rsidRPr="006962C3">
        <w:rPr>
          <w:rFonts w:ascii="Arial" w:hAnsi="Arial" w:cs="Arial"/>
          <w:sz w:val="24"/>
          <w:szCs w:val="24"/>
        </w:rPr>
        <w:t>ystem</w:t>
      </w:r>
      <w:r w:rsidR="00EC592E" w:rsidRPr="006962C3">
        <w:rPr>
          <w:rFonts w:ascii="Arial" w:hAnsi="Arial" w:cs="Arial"/>
          <w:sz w:val="24"/>
          <w:szCs w:val="24"/>
        </w:rPr>
        <w:t xml:space="preserve">therapie, </w:t>
      </w:r>
      <w:r w:rsidR="004D49C1" w:rsidRPr="006962C3">
        <w:rPr>
          <w:rFonts w:ascii="Arial" w:hAnsi="Arial" w:cs="Arial"/>
          <w:sz w:val="24"/>
          <w:szCs w:val="24"/>
        </w:rPr>
        <w:t xml:space="preserve">stereotaktische Bestrahlung) </w:t>
      </w:r>
      <w:r w:rsidR="00971552" w:rsidRPr="006962C3">
        <w:rPr>
          <w:rFonts w:ascii="Arial" w:hAnsi="Arial" w:cs="Arial"/>
          <w:sz w:val="24"/>
          <w:szCs w:val="24"/>
        </w:rPr>
        <w:t xml:space="preserve">können </w:t>
      </w:r>
      <w:r w:rsidR="006B0476">
        <w:rPr>
          <w:rFonts w:ascii="Arial" w:hAnsi="Arial" w:cs="Arial"/>
          <w:sz w:val="24"/>
          <w:szCs w:val="24"/>
        </w:rPr>
        <w:t xml:space="preserve">inzwischen </w:t>
      </w:r>
      <w:r w:rsidR="00971552" w:rsidRPr="006962C3">
        <w:rPr>
          <w:rFonts w:ascii="Arial" w:hAnsi="Arial" w:cs="Arial"/>
          <w:sz w:val="24"/>
          <w:szCs w:val="24"/>
        </w:rPr>
        <w:t xml:space="preserve">das mediane Gesamtüberleben </w:t>
      </w:r>
      <w:r w:rsidR="00B36638" w:rsidRPr="006962C3">
        <w:rPr>
          <w:rFonts w:ascii="Arial" w:hAnsi="Arial" w:cs="Arial"/>
          <w:sz w:val="24"/>
          <w:szCs w:val="24"/>
        </w:rPr>
        <w:t xml:space="preserve">gegenüber der Herangehensweise aus </w:t>
      </w:r>
      <w:r w:rsidR="00A450D0" w:rsidRPr="006962C3">
        <w:rPr>
          <w:rFonts w:ascii="Arial" w:hAnsi="Arial" w:cs="Arial"/>
          <w:sz w:val="24"/>
          <w:szCs w:val="24"/>
        </w:rPr>
        <w:t xml:space="preserve">Ganzhirnbestrahlung und Chemotherapie </w:t>
      </w:r>
      <w:r w:rsidR="00971552" w:rsidRPr="006962C3">
        <w:rPr>
          <w:rFonts w:ascii="Arial" w:hAnsi="Arial" w:cs="Arial"/>
          <w:sz w:val="24"/>
          <w:szCs w:val="24"/>
        </w:rPr>
        <w:t>deutlich verlängern</w:t>
      </w:r>
      <w:r w:rsidR="004D49C1" w:rsidRPr="006962C3">
        <w:rPr>
          <w:rFonts w:ascii="Arial" w:hAnsi="Arial" w:cs="Arial"/>
          <w:sz w:val="24"/>
          <w:szCs w:val="24"/>
        </w:rPr>
        <w:t>.</w:t>
      </w:r>
      <w:r w:rsidR="004B408B">
        <w:rPr>
          <w:rFonts w:ascii="Arial" w:hAnsi="Arial" w:cs="Arial"/>
          <w:sz w:val="24"/>
          <w:szCs w:val="24"/>
        </w:rPr>
        <w:fldChar w:fldCharType="begin" w:fldLock="1"/>
      </w:r>
      <w:r w:rsidR="0042445A">
        <w:rPr>
          <w:rFonts w:ascii="Arial" w:hAnsi="Arial" w:cs="Arial"/>
          <w:sz w:val="24"/>
          <w:szCs w:val="24"/>
        </w:rPr>
        <w:instrText>ADDIN CSL_CITATION {"citationItems":[{"id":"ITEM-1","itemData":{"DOI":"10.14791/btrt.2013.1.2.64","ISSN":"2288-2405","abstract":"OBJECTIVE: Patients with symptomatic brain metastases secondary to mass effect are often candidates for surgery. However, many of these surgical candidates are also found to have multiple asymptomatic tumors. This study aimed to determine the outcome of surgical resection of symptomatic brain metastases followed by chemotherapy or radiotherapy (RT) for the remnant asymptomatic lesions in non-small cell lung cancer (NSCLC) patients with multiple brain metastases.\\n\\nMETHODS: We conducted a retrospective review of the medical records of 51 NSCLC patients with symptomatic multiple brain metastases who underwent surgical resection, of whom 38 had one or more unresected asymptomatic lesions subsequently treated with chemotherapy and/or RT. Thirteen patients underwent resection of all metastatic lesions.\\n\\nRESULTS: Median survival for overall patient population after surgical resection was 10.8 months. Median survival for patients with surgical resection of all brain metastases was not significantly different with patients who underwent surgical resection of only symptomatic lesions (6.5 months vs. 10.8 months; p=0.97). There was no statistically significant difference in survival according to the number of tumors (p=0.86, 0.16), or post-surgical treatment modalities (p=0.69).\\n\\nCONCLUSION: The survival time of NSCLC patients with multiple brain metastases after surgery for only symptomatic brain metastases is similar to that of patients who underwent surgery for all brain metastases. The remaining asymptomatic lesions may be treated with chemotherapy or radiotherapy. The optimal treatment modality, however, needs to be defined in prospective trials with larger patient cohort.","author":[{"dropping-particle":"","family":"Hong","given":"Noah","non-dropping-particle":"","parse-names":false,"suffix":""},{"dropping-particle":"","family":"Yoo","given":"Heon","non-dropping-particle":"","parse-names":false,"suffix":""},{"dropping-particle":"","family":"Gwak","given":"Ho Shin","non-dropping-particle":"","parse-names":false,"suffix":""},{"dropping-particle":"","family":"Shin","given":"Sang Hoon","non-dropping-particle":"","parse-names":false,"suffix":""},{"dropping-particle":"","family":"Lee","given":"Seung Hoon","non-dropping-particle":"","parse-names":false,"suffix":""}],"container-title":"Brain Tumor Research and Treatment","id":"ITEM-1","issue":"2","issued":{"date-parts":[["2013"]]},"page":"64","publisher":"The Korean Brain Tumor Society, The Korean Society for Neuro-Oncology","title":"Outcome of Surgical Resection of Symptomatic Cerebral Lesions in Non-Small Cell Lung Cancer Patients with Multiple Brain Metastases","type":"article-journal","volume":"1"},"uris":["http://www.mendeley.com/documents/?uuid=e1345521-0606-30ed-ac3f-1da5be2adb89"]}],"mendeley":{"formattedCitation":"&lt;sup&gt;32&lt;/sup&gt;","plainTextFormattedCitation":"32","previouslyFormattedCitation":"&lt;sup&gt;31&lt;/sup&gt;"},"properties":{"noteIndex":0},"schema":"https://github.com/citation-style-language/schema/raw/master/csl-citation.json"}</w:instrText>
      </w:r>
      <w:r w:rsidR="004B408B">
        <w:rPr>
          <w:rFonts w:ascii="Arial" w:hAnsi="Arial" w:cs="Arial"/>
          <w:sz w:val="24"/>
          <w:szCs w:val="24"/>
        </w:rPr>
        <w:fldChar w:fldCharType="separate"/>
      </w:r>
      <w:r w:rsidR="0042445A" w:rsidRPr="0042445A">
        <w:rPr>
          <w:rFonts w:ascii="Arial" w:hAnsi="Arial" w:cs="Arial"/>
          <w:noProof/>
          <w:sz w:val="24"/>
          <w:szCs w:val="24"/>
          <w:vertAlign w:val="superscript"/>
        </w:rPr>
        <w:t>32</w:t>
      </w:r>
      <w:r w:rsidR="004B408B">
        <w:rPr>
          <w:rFonts w:ascii="Arial" w:hAnsi="Arial" w:cs="Arial"/>
          <w:sz w:val="24"/>
          <w:szCs w:val="24"/>
        </w:rPr>
        <w:fldChar w:fldCharType="end"/>
      </w:r>
    </w:p>
    <w:p w14:paraId="02CFBBD1" w14:textId="6C7E42F3" w:rsidR="00A218CC" w:rsidRPr="004B408B" w:rsidRDefault="00E653A2" w:rsidP="009C0E04">
      <w:pPr>
        <w:pStyle w:val="Kommentartext"/>
        <w:spacing w:line="360" w:lineRule="auto"/>
        <w:jc w:val="both"/>
        <w:rPr>
          <w:rFonts w:ascii="Arial" w:hAnsi="Arial" w:cs="Arial"/>
          <w:sz w:val="24"/>
          <w:szCs w:val="24"/>
        </w:rPr>
      </w:pPr>
      <w:r w:rsidRPr="009C0E04">
        <w:rPr>
          <w:rFonts w:ascii="Arial" w:hAnsi="Arial" w:cs="Arial"/>
          <w:sz w:val="24"/>
          <w:szCs w:val="24"/>
        </w:rPr>
        <w:t xml:space="preserve">In EGFR-mutierten Karzinomen </w:t>
      </w:r>
      <w:r w:rsidR="006B0476" w:rsidRPr="009C0E04">
        <w:rPr>
          <w:rFonts w:ascii="Arial" w:hAnsi="Arial" w:cs="Arial"/>
          <w:sz w:val="24"/>
          <w:szCs w:val="24"/>
        </w:rPr>
        <w:t>(ca.</w:t>
      </w:r>
      <w:r w:rsidR="009D20FA" w:rsidRPr="009C0E04">
        <w:rPr>
          <w:rFonts w:ascii="Arial" w:hAnsi="Arial" w:cs="Arial"/>
          <w:sz w:val="24"/>
          <w:szCs w:val="24"/>
        </w:rPr>
        <w:t>10%</w:t>
      </w:r>
      <w:r w:rsidR="006B0476" w:rsidRPr="009C0E04">
        <w:rPr>
          <w:rFonts w:ascii="Arial" w:hAnsi="Arial" w:cs="Arial"/>
          <w:sz w:val="24"/>
          <w:szCs w:val="24"/>
        </w:rPr>
        <w:t xml:space="preserve">) </w:t>
      </w:r>
      <w:r w:rsidRPr="009C0E04">
        <w:rPr>
          <w:rFonts w:ascii="Arial" w:hAnsi="Arial" w:cs="Arial"/>
          <w:sz w:val="24"/>
          <w:szCs w:val="24"/>
        </w:rPr>
        <w:t xml:space="preserve">führt das neuartige </w:t>
      </w:r>
      <w:r w:rsidR="00A978CC" w:rsidRPr="009C0E04">
        <w:rPr>
          <w:rFonts w:ascii="Arial" w:hAnsi="Arial" w:cs="Arial"/>
          <w:sz w:val="24"/>
          <w:szCs w:val="24"/>
        </w:rPr>
        <w:t>Osimertinib</w:t>
      </w:r>
      <w:r w:rsidRPr="009C0E04">
        <w:rPr>
          <w:rFonts w:ascii="Arial" w:hAnsi="Arial" w:cs="Arial"/>
          <w:sz w:val="24"/>
          <w:szCs w:val="24"/>
        </w:rPr>
        <w:t xml:space="preserve"> in der Erstlinie</w:t>
      </w:r>
      <w:r w:rsidR="006704A7" w:rsidRPr="009C0E04">
        <w:rPr>
          <w:rFonts w:ascii="Arial" w:hAnsi="Arial" w:cs="Arial"/>
          <w:sz w:val="24"/>
          <w:szCs w:val="24"/>
        </w:rPr>
        <w:t xml:space="preserve"> zu einem signifikant verlängerten PFS </w:t>
      </w:r>
      <w:r w:rsidR="00DA3E4C" w:rsidRPr="009C0E04">
        <w:rPr>
          <w:rFonts w:ascii="Arial" w:hAnsi="Arial" w:cs="Arial"/>
          <w:sz w:val="24"/>
          <w:szCs w:val="24"/>
        </w:rPr>
        <w:t>in Patienten mit ZNS-Metastasen (15,2 vs 9,6 Monate für Standard EGFR-TKI)</w:t>
      </w:r>
      <w:r w:rsidR="000B652F" w:rsidRPr="009C0E04">
        <w:rPr>
          <w:rFonts w:ascii="Arial" w:hAnsi="Arial" w:cs="Arial"/>
          <w:sz w:val="24"/>
          <w:szCs w:val="24"/>
        </w:rPr>
        <w:t>.</w:t>
      </w:r>
      <w:r w:rsidR="004B408B">
        <w:rPr>
          <w:rFonts w:ascii="Arial" w:hAnsi="Arial" w:cs="Arial"/>
          <w:sz w:val="24"/>
          <w:szCs w:val="24"/>
        </w:rPr>
        <w:fldChar w:fldCharType="begin" w:fldLock="1"/>
      </w:r>
      <w:r w:rsidR="0042445A">
        <w:rPr>
          <w:rFonts w:ascii="Arial" w:hAnsi="Arial" w:cs="Arial"/>
          <w:sz w:val="24"/>
          <w:szCs w:val="24"/>
        </w:rPr>
        <w:instrText>ADDIN CSL_CITATION {"citationItems":[{"id":"ITEM-1","itemData":{"DOI":"10.1056/NEJMoa1713137","ISSN":"15334406","PMID":"29151359","abstract":"BACKGROUND Osimertinib is an oral, third-generation, irreversible epidermal growth factor receptor tyrosine kinase inhibitor (EGFR-TKI) that selectively inhibits both EGFR-TKI-sensitizing and EGFR T790M resistance mutations. We compared osimertinib with standard EGFR-TKIs in patients with previously untreated, EGFR mutation-positive advanced non-small-cell lung cancer (NSCLC). METHODS In this double-blind, phase 3 trial, we randomly assigned 556 patients with previously untreated, EGFR mutation-positive (exon 19 deletion or L858R) advanced NSCLC in a 1:1 ratio to receive either osimertinib (at a dose of 80 mg once daily) or a standard EGFR-TKI (gefitinib at a dose of 250 mg once daily or erlotinib at a dose of 150 mg once daily). The primary end point was investigator-Assessed progression-free survival. RESULTS The median progression-free survival was significantly longer with osimertinib than with standard EGFR-TKIs (18.9 months vs. 10.2 months; hazard ratio for disease progression or death, 0.46; 95% confidence interval [CI], 0.37 to 0.57; P&lt;0.001). The objective response rate was similar in the two groups: 80% with osimertinib and 76% with standard EGFR-TKIs (odds ratio, 1.27; 95% CI, 0.85 to 1.90; P = 0.24). The median duration of response was 17.2 months (95% CI, 13.8 to 22.0) with osimertinib versus 8.5 months (95% CI, 7.3 to 9.8) with standard EGFR-TKIs. Data on overall survival were immature at the interim analysis (25% maturity). The survival rate at 18 months was 83% (95% CI, 78 to 87) with osimertinib and 71% (95% CI, 65 to 76) with standard EGFR-TKIs (hazard ratio for death, 0.63; 95% CI, 0.45 to 0.88; P = 0.007 [nonsignificant in the interim analysis]). Adverse events of grade 3 or higher were less frequent with osimertinib than with standard EGFR-TKIs (34% vs. 45%). CONCLUSIONS Osimertinib showed efficacy superior to that of standard EGFR-TKIs in the first-line treatment of EGFR mutation-positive advanced NSCLC, with a similar safety profile and lower rates of serious adverse events. (Funded by AstraZeneca; FLAURA ClinicalTrials .gov number, NCT02296125.).","author":[{"dropping-particle":"","family":"Soria","given":"J. C.","non-dropping-particle":"","parse-names":false,"suffix":""},{"dropping-particle":"","family":"Ohe","given":"Y.","non-dropping-particle":"","parse-names":false,"suffix":""},{"dropping-particle":"","family":"Vansteenkiste","given":"J.","non-dropping-particle":"","parse-names":false,"suffix":""},{"dropping-particle":"","family":"Reungwetwattana","given":"T.","non-dropping-particle":"","parse-names":false,"suffix":""},{"dropping-particle":"","family":"Chewaskulyong","given":"B.","non-dropping-particle":"","parse-names":false,"suffix":""},{"dropping-particle":"","family":"Lee","given":"K. H.","non-dropping-particle":"","parse-names":false,"suffix":""},{"dropping-particle":"","family":"Dechaphunkul","given":"A.","non-dropping-particle":"","parse-names":false,"suffix":""},{"dropping-particle":"","family":"Imamura","given":"F.","non-dropping-particle":"","parse-names":false,"suffix":""},{"dropping-particle":"","family":"Nogami","given":"N.","non-dropping-particle":"","parse-names":false,"suffix":""},{"dropping-particle":"","family":"Kurata","given":"T.","non-dropping-particle":"","parse-names":false,"suffix":""},{"dropping-particle":"","family":"Okamoto","given":"I.","non-dropping-particle":"","parse-names":false,"suffix":""},{"dropping-particle":"","family":"Zhou","given":"C.","non-dropping-particle":"","parse-names":false,"suffix":""},{"dropping-particle":"","family":"Cho","given":"B. C.","non-dropping-particle":"","parse-names":false,"suffix":""},{"dropping-particle":"","family":"Cheng","given":"Y.","non-dropping-particle":"","parse-names":false,"suffix":""},{"dropping-particle":"","family":"Cho","given":"E. K.","non-dropping-particle":"","parse-names":false,"suffix":""},{"dropping-particle":"","family":"Voon","given":"P. J.","non-dropping-particle":"","parse-names":false,"suffix":""},{"dropping-particle":"","family":"Planchard","given":"D.","non-dropping-particle":"","parse-names":false,"suffix":""},{"dropping-particle":"","family":"Su","given":"W. C.","non-dropping-particle":"","parse-names":false,"suffix":""},{"dropping-particle":"","family":"Gray","given":"J. E.","non-dropping-particle":"","parse-names":false,"suffix":""},{"dropping-particle":"","family":"Lee","given":"S. M.","non-dropping-particle":"","parse-names":false,"suffix":""},{"dropping-particle":"","family":"Hodge","given":"R.","non-dropping-particle":"","parse-names":false,"suffix":""},{"dropping-particle":"","family":"Marotti","given":"M.","non-dropping-particle":"","parse-names":false,"suffix":""},{"dropping-particle":"","family":"Rukazenkov","given":"Y.","non-dropping-particle":"","parse-names":false,"suffix":""},{"dropping-particle":"","family":"Ramalingam","given":"S. S.","non-dropping-particle":"","parse-names":false,"suffix":""}],"container-title":"New England Journal of Medicine","id":"ITEM-1","issue":"2","issued":{"date-parts":[["2018","1","11"]]},"page":"113-125","publisher":"Massachussetts Medical Society","title":"Osimertinib in untreated EGFR-Mutated advanced non-small-cell lung cancer","type":"article-journal","volume":"378"},"uris":["http://www.mendeley.com/documents/?uuid=7e200020-60b4-3c2b-a37c-1e8ef1336df4"]}],"mendeley":{"formattedCitation":"&lt;sup&gt;33&lt;/sup&gt;","plainTextFormattedCitation":"33","previouslyFormattedCitation":"&lt;sup&gt;32&lt;/sup&gt;"},"properties":{"noteIndex":0},"schema":"https://github.com/citation-style-language/schema/raw/master/csl-citation.json"}</w:instrText>
      </w:r>
      <w:r w:rsidR="004B408B">
        <w:rPr>
          <w:rFonts w:ascii="Arial" w:hAnsi="Arial" w:cs="Arial"/>
          <w:sz w:val="24"/>
          <w:szCs w:val="24"/>
        </w:rPr>
        <w:fldChar w:fldCharType="separate"/>
      </w:r>
      <w:r w:rsidR="0042445A" w:rsidRPr="0042445A">
        <w:rPr>
          <w:rFonts w:ascii="Arial" w:hAnsi="Arial" w:cs="Arial"/>
          <w:noProof/>
          <w:sz w:val="24"/>
          <w:szCs w:val="24"/>
          <w:vertAlign w:val="superscript"/>
        </w:rPr>
        <w:t>33</w:t>
      </w:r>
      <w:r w:rsidR="004B408B">
        <w:rPr>
          <w:rFonts w:ascii="Arial" w:hAnsi="Arial" w:cs="Arial"/>
          <w:sz w:val="24"/>
          <w:szCs w:val="24"/>
        </w:rPr>
        <w:fldChar w:fldCharType="end"/>
      </w:r>
      <w:r w:rsidR="000B652F" w:rsidRPr="009C0E04">
        <w:rPr>
          <w:rFonts w:ascii="Arial" w:hAnsi="Arial" w:cs="Arial"/>
          <w:sz w:val="24"/>
          <w:szCs w:val="24"/>
        </w:rPr>
        <w:t xml:space="preserve"> </w:t>
      </w:r>
      <w:r w:rsidR="009D20FA" w:rsidRPr="009C0E04">
        <w:rPr>
          <w:rFonts w:ascii="Arial" w:hAnsi="Arial" w:cs="Arial"/>
          <w:sz w:val="24"/>
          <w:szCs w:val="24"/>
        </w:rPr>
        <w:t xml:space="preserve">Unter den für </w:t>
      </w:r>
      <w:r w:rsidR="006A71F8" w:rsidRPr="009C0E04">
        <w:rPr>
          <w:rFonts w:ascii="Arial" w:hAnsi="Arial" w:cs="Arial"/>
          <w:sz w:val="24"/>
          <w:szCs w:val="24"/>
        </w:rPr>
        <w:t>Lungenkarzinom</w:t>
      </w:r>
      <w:r w:rsidR="00F35790" w:rsidRPr="009C0E04">
        <w:rPr>
          <w:rFonts w:ascii="Arial" w:hAnsi="Arial" w:cs="Arial"/>
          <w:sz w:val="24"/>
          <w:szCs w:val="24"/>
        </w:rPr>
        <w:t xml:space="preserve">e </w:t>
      </w:r>
      <w:r w:rsidR="0018242B" w:rsidRPr="009C0E04">
        <w:rPr>
          <w:rFonts w:ascii="Arial" w:hAnsi="Arial" w:cs="Arial"/>
          <w:sz w:val="24"/>
          <w:szCs w:val="24"/>
        </w:rPr>
        <w:t xml:space="preserve">mit </w:t>
      </w:r>
      <w:r w:rsidR="009C37DD" w:rsidRPr="009C0E04">
        <w:rPr>
          <w:rFonts w:ascii="Arial" w:hAnsi="Arial" w:cs="Arial"/>
          <w:sz w:val="24"/>
          <w:szCs w:val="24"/>
        </w:rPr>
        <w:t xml:space="preserve">ALK-Fusion </w:t>
      </w:r>
      <w:r w:rsidR="006E2B11" w:rsidRPr="009C0E04">
        <w:rPr>
          <w:rFonts w:ascii="Arial" w:hAnsi="Arial" w:cs="Arial"/>
          <w:sz w:val="24"/>
          <w:szCs w:val="24"/>
        </w:rPr>
        <w:t xml:space="preserve">(ca. </w:t>
      </w:r>
      <w:r w:rsidR="00533989" w:rsidRPr="009C0E04">
        <w:rPr>
          <w:rFonts w:ascii="Arial" w:hAnsi="Arial" w:cs="Arial"/>
          <w:sz w:val="24"/>
          <w:szCs w:val="24"/>
        </w:rPr>
        <w:t>3-</w:t>
      </w:r>
      <w:r w:rsidR="006E2B11" w:rsidRPr="009C0E04">
        <w:rPr>
          <w:rFonts w:ascii="Arial" w:hAnsi="Arial" w:cs="Arial"/>
          <w:sz w:val="24"/>
          <w:szCs w:val="24"/>
        </w:rPr>
        <w:t xml:space="preserve">5%) </w:t>
      </w:r>
      <w:r w:rsidR="009D20FA" w:rsidRPr="009C0E04">
        <w:rPr>
          <w:rFonts w:ascii="Arial" w:hAnsi="Arial" w:cs="Arial"/>
          <w:sz w:val="24"/>
          <w:szCs w:val="24"/>
        </w:rPr>
        <w:t>zugelassenen</w:t>
      </w:r>
      <w:r w:rsidR="006A71F8" w:rsidRPr="009C0E04">
        <w:rPr>
          <w:rFonts w:ascii="Arial" w:hAnsi="Arial" w:cs="Arial"/>
          <w:sz w:val="24"/>
          <w:szCs w:val="24"/>
        </w:rPr>
        <w:t xml:space="preserve"> Kinaseinhibitoren </w:t>
      </w:r>
      <w:r w:rsidR="00F35790" w:rsidRPr="009C0E04">
        <w:rPr>
          <w:rFonts w:ascii="Arial" w:hAnsi="Arial" w:cs="Arial"/>
          <w:sz w:val="24"/>
          <w:szCs w:val="24"/>
        </w:rPr>
        <w:t>senkt</w:t>
      </w:r>
      <w:r w:rsidR="00B21E76" w:rsidRPr="009C0E04">
        <w:rPr>
          <w:rFonts w:ascii="Arial" w:hAnsi="Arial" w:cs="Arial"/>
          <w:sz w:val="24"/>
          <w:szCs w:val="24"/>
        </w:rPr>
        <w:t xml:space="preserve"> </w:t>
      </w:r>
      <w:r w:rsidR="00F35790" w:rsidRPr="009C0E04">
        <w:rPr>
          <w:rFonts w:ascii="Arial" w:hAnsi="Arial" w:cs="Arial"/>
          <w:sz w:val="24"/>
          <w:szCs w:val="24"/>
        </w:rPr>
        <w:t>Alectinib</w:t>
      </w:r>
      <w:r w:rsidR="00665BC3" w:rsidRPr="009C0E04">
        <w:rPr>
          <w:rFonts w:ascii="Arial" w:hAnsi="Arial" w:cs="Arial"/>
          <w:sz w:val="24"/>
          <w:szCs w:val="24"/>
        </w:rPr>
        <w:t xml:space="preserve"> </w:t>
      </w:r>
      <w:r w:rsidR="009C37DD" w:rsidRPr="009C0E04">
        <w:rPr>
          <w:rFonts w:ascii="Arial" w:hAnsi="Arial" w:cs="Arial"/>
          <w:sz w:val="24"/>
          <w:szCs w:val="24"/>
        </w:rPr>
        <w:t xml:space="preserve">in der Erstlinie </w:t>
      </w:r>
      <w:r w:rsidR="00665BC3" w:rsidRPr="009C0E04">
        <w:rPr>
          <w:rFonts w:ascii="Arial" w:hAnsi="Arial" w:cs="Arial"/>
          <w:sz w:val="24"/>
          <w:szCs w:val="24"/>
        </w:rPr>
        <w:t xml:space="preserve">die </w:t>
      </w:r>
      <w:r w:rsidR="00207E69" w:rsidRPr="009C0E04">
        <w:rPr>
          <w:rFonts w:ascii="Arial" w:hAnsi="Arial" w:cs="Arial"/>
          <w:sz w:val="24"/>
          <w:szCs w:val="24"/>
        </w:rPr>
        <w:t xml:space="preserve">kumulative Inzidenz der zerebralen Progresse </w:t>
      </w:r>
      <w:r w:rsidR="009C37DD" w:rsidRPr="009C0E04">
        <w:rPr>
          <w:rFonts w:ascii="Arial" w:hAnsi="Arial" w:cs="Arial"/>
          <w:sz w:val="24"/>
          <w:szCs w:val="24"/>
        </w:rPr>
        <w:t xml:space="preserve">am effektivsten </w:t>
      </w:r>
      <w:r w:rsidR="00207E69" w:rsidRPr="009C0E04">
        <w:rPr>
          <w:rFonts w:ascii="Arial" w:hAnsi="Arial" w:cs="Arial"/>
          <w:sz w:val="24"/>
          <w:szCs w:val="24"/>
        </w:rPr>
        <w:t>(</w:t>
      </w:r>
      <w:r w:rsidR="00DC38CE" w:rsidRPr="009C0E04">
        <w:rPr>
          <w:rFonts w:ascii="Arial" w:hAnsi="Arial" w:cs="Arial"/>
          <w:sz w:val="24"/>
          <w:szCs w:val="24"/>
        </w:rPr>
        <w:t>nach 12 Monaten: Alectinib 9,4% vs Crizotinib 41,</w:t>
      </w:r>
      <w:r w:rsidR="00B21E76" w:rsidRPr="009C0E04">
        <w:rPr>
          <w:rFonts w:ascii="Arial" w:hAnsi="Arial" w:cs="Arial"/>
          <w:sz w:val="24"/>
          <w:szCs w:val="24"/>
        </w:rPr>
        <w:t>4%)</w:t>
      </w:r>
      <w:r w:rsidR="006962C3" w:rsidRPr="009C0E04">
        <w:rPr>
          <w:rFonts w:ascii="Arial" w:hAnsi="Arial" w:cs="Arial"/>
          <w:sz w:val="24"/>
          <w:szCs w:val="24"/>
        </w:rPr>
        <w:t xml:space="preserve"> was </w:t>
      </w:r>
      <w:r w:rsidR="00386E33" w:rsidRPr="009C0E04">
        <w:rPr>
          <w:rFonts w:ascii="Arial" w:hAnsi="Arial" w:cs="Arial"/>
          <w:sz w:val="24"/>
          <w:szCs w:val="24"/>
        </w:rPr>
        <w:t>auch</w:t>
      </w:r>
      <w:r w:rsidR="00A329A1" w:rsidRPr="009C0E04">
        <w:rPr>
          <w:rFonts w:ascii="Arial" w:hAnsi="Arial" w:cs="Arial"/>
          <w:sz w:val="24"/>
          <w:szCs w:val="24"/>
        </w:rPr>
        <w:t xml:space="preserve"> mit</w:t>
      </w:r>
      <w:r w:rsidR="00386E33" w:rsidRPr="009C0E04">
        <w:rPr>
          <w:rFonts w:ascii="Arial" w:hAnsi="Arial" w:cs="Arial"/>
          <w:sz w:val="24"/>
          <w:szCs w:val="24"/>
        </w:rPr>
        <w:t xml:space="preserve"> einer signifikanten Verbesserung des PFS </w:t>
      </w:r>
      <w:r w:rsidR="006962C3" w:rsidRPr="009C0E04">
        <w:rPr>
          <w:rFonts w:ascii="Arial" w:hAnsi="Arial" w:cs="Arial"/>
          <w:sz w:val="24"/>
          <w:szCs w:val="24"/>
        </w:rPr>
        <w:t>assoziiert is</w:t>
      </w:r>
      <w:r w:rsidR="00386E33" w:rsidRPr="009C0E04">
        <w:rPr>
          <w:rFonts w:ascii="Arial" w:hAnsi="Arial" w:cs="Arial"/>
          <w:sz w:val="24"/>
          <w:szCs w:val="24"/>
        </w:rPr>
        <w:t>t</w:t>
      </w:r>
      <w:r w:rsidR="008131F5" w:rsidRPr="009C0E04">
        <w:rPr>
          <w:rFonts w:ascii="Arial" w:hAnsi="Arial" w:cs="Arial"/>
          <w:sz w:val="24"/>
          <w:szCs w:val="24"/>
        </w:rPr>
        <w:t>.</w:t>
      </w:r>
      <w:r w:rsidR="004B408B">
        <w:rPr>
          <w:rFonts w:ascii="Arial" w:hAnsi="Arial" w:cs="Arial"/>
          <w:sz w:val="24"/>
          <w:szCs w:val="24"/>
        </w:rPr>
        <w:fldChar w:fldCharType="begin" w:fldLock="1"/>
      </w:r>
      <w:r w:rsidR="0042445A">
        <w:rPr>
          <w:rFonts w:ascii="Arial" w:hAnsi="Arial" w:cs="Arial"/>
          <w:sz w:val="24"/>
          <w:szCs w:val="24"/>
        </w:rPr>
        <w:instrText>ADDIN CSL_CITATION {"citationItems":[{"id":"ITEM-1","itemData":{"DOI":"10.1056/NEJMoa1704795","ISSN":"15334406","PMID":"28586279","abstract":"BACKGROUND: Alectinib, a highly selective inhibitor of anaplastic lymphoma kinase (ALK), has shown systemic and central nervous system (CNS) efficacy in the treatment of ALK-positive non–small-cell lung cancer (NSCLC). We investigated alectinib as compared with crizotinib in patients with previously untreated, advanced ALK-positive NSCLC, including those with asymptomatic CNS disease. METHODS: In a randomized, open-label, phase 3 trial, we randomly assigned 303 patients with previously untreated, advanced ALK-positive NSCLC to receive either alectinib (600 mg twice daily) or crizotinib (250 mg twice daily). The primary end point was investigator-assessed progression-free survival. Secondary end points were independent review committee–assessed progression-free survival, time to CNS progression, objective response rate, and overall survival. RESULTS: During a median follow-up of 17.6 months (crizotinib) and 18.6 months (alectinib), an event of disease progression or death occurred in 62 of 152 patients (41%) in the alectinib group and 102 of 151 patients (68%) in the crizotinib group. The rate of investigator-assessed progression-free survival was significantly higher with alectinib than with crizotinib (12-month event-free survival rate, 68.4% [95% confidence interval (CI), 61.0 to 75.9] with alectinib vs. 48.7% [95% CI, 40.4 to 56.9] with crizotinib; hazard ratio for disease progression or death, 0.47 [95% CI, 0.34 to 0.65]; P&lt;0.001); the median progression-free survival with alectinib was not reached. The results for independent review committee–assessed progression-free survival were consistent with those for the primary end point. A total of 18 patients (12%) in the alectinib group had an event of CNS progression, as compared with 68 patients (45%) in the crizotinib group (cause-specific hazard ratio, 0.16; 95% CI, 0.10 to 0.28; P&lt;0.001). A response occurred in 126 patients in the alectinib group (response rate, 82.9%; 95% CI, 76.0 to 88.5) and in 114 patients in the crizotinib group (response rate, 75.5%; 95% CI, 67.8 to 82.1) (P=0.09). Grade 3 to 5 adverse events were less frequent with alectinib (41% vs. 50% with crizotinib). CONCLUSIONS: As compared with crizotinib, alectinib showed superior efficacy and lower toxicity in primary treatment of ALK-positive NSCLC.","author":[{"dropping-particle":"","family":"Peters","given":"Solange","non-dropping-particle":"","parse-names":false,"suffix":""},{"dropping-particle":"","family":"Camidge","given":"D. Ross","non-dropping-particle":"","parse-names":false,"suffix":""},{"dropping-particle":"","family":"Shaw","given":"Alice T.","non-dropping-particle":"","parse-names":false,"suffix":""},{"dropping-particle":"","family":"Gadgeel","given":"Shirish","non-dropping-particle":"","parse-names":false,"suffix":""},{"dropping-particle":"","family":"Ahn","given":"Jin S.","non-dropping-particle":"","parse-names":false,"suffix":""},{"dropping-particle":"","family":"Kim","given":"Dong Wan","non-dropping-particle":"","parse-names":false,"suffix":""},{"dropping-particle":"","family":"Ou","given":"Sai Hong I.","non-dropping-particle":"","parse-names":false,"suffix":""},{"dropping-particle":"","family":"Pérol","given":"Maurice","non-dropping-particle":"","parse-names":false,"suffix":""},{"dropping-particle":"","family":"Dziadziuszko","given":"Rafal","non-dropping-particle":"","parse-names":false,"suffix":""},{"dropping-particle":"","family":"Rosell","given":"Rafael","non-dropping-particle":"","parse-names":false,"suffix":""},{"dropping-particle":"","family":"Zeaiter","given":"Ali","non-dropping-particle":"","parse-names":false,"suffix":""},{"dropping-particle":"","family":"Mitry","given":"Emmanuel","non-dropping-particle":"","parse-names":false,"suffix":""},{"dropping-particle":"","family":"Golding","given":"Sophie","non-dropping-particle":"","parse-names":false,"suffix":""},{"dropping-particle":"","family":"Balas","given":"Bogdana","non-dropping-particle":"","parse-names":false,"suffix":""},{"dropping-particle":"","family":"Noe","given":"Johannes","non-dropping-particle":"","parse-names":false,"suffix":""},{"dropping-particle":"","family":"Morcos","given":"Peter N.","non-dropping-particle":"","parse-names":false,"suffix":""},{"dropping-particle":"","family":"Mok","given":"Tony","non-dropping-particle":"","parse-names":false,"suffix":""}],"container-title":"New England Journal of Medicine","id":"ITEM-1","issue":"9","issued":{"date-parts":[["2017","8","31"]]},"page":"829-838","publisher":"Massachussetts Medical Society","title":"Alectinib versus crizotinib in untreated ALK-positive non–small-cell lung cancer","type":"article-journal","volume":"377"},"uris":["http://www.mendeley.com/documents/?uuid=1f85a5a3-678f-31d5-b03e-e595c6fc7a5b"]}],"mendeley":{"formattedCitation":"&lt;sup&gt;34&lt;/sup&gt;","plainTextFormattedCitation":"34","previouslyFormattedCitation":"&lt;sup&gt;33&lt;/sup&gt;"},"properties":{"noteIndex":0},"schema":"https://github.com/citation-style-language/schema/raw/master/csl-citation.json"}</w:instrText>
      </w:r>
      <w:r w:rsidR="004B408B">
        <w:rPr>
          <w:rFonts w:ascii="Arial" w:hAnsi="Arial" w:cs="Arial"/>
          <w:sz w:val="24"/>
          <w:szCs w:val="24"/>
        </w:rPr>
        <w:fldChar w:fldCharType="separate"/>
      </w:r>
      <w:r w:rsidR="0042445A" w:rsidRPr="0042445A">
        <w:rPr>
          <w:rFonts w:ascii="Arial" w:hAnsi="Arial" w:cs="Arial"/>
          <w:noProof/>
          <w:sz w:val="24"/>
          <w:szCs w:val="24"/>
          <w:vertAlign w:val="superscript"/>
        </w:rPr>
        <w:t>34</w:t>
      </w:r>
      <w:r w:rsidR="004B408B">
        <w:rPr>
          <w:rFonts w:ascii="Arial" w:hAnsi="Arial" w:cs="Arial"/>
          <w:sz w:val="24"/>
          <w:szCs w:val="24"/>
        </w:rPr>
        <w:fldChar w:fldCharType="end"/>
      </w:r>
      <w:r w:rsidR="008131F5" w:rsidRPr="009C0E04">
        <w:rPr>
          <w:rFonts w:ascii="Arial" w:hAnsi="Arial" w:cs="Arial"/>
          <w:sz w:val="24"/>
          <w:szCs w:val="24"/>
        </w:rPr>
        <w:t xml:space="preserve"> Lorlatinib, ist ein ALK-TKI</w:t>
      </w:r>
      <w:r w:rsidR="000C0D8A" w:rsidRPr="009C0E04">
        <w:rPr>
          <w:rFonts w:ascii="Arial" w:hAnsi="Arial" w:cs="Arial"/>
          <w:sz w:val="24"/>
          <w:szCs w:val="24"/>
        </w:rPr>
        <w:t xml:space="preserve"> </w:t>
      </w:r>
      <w:r w:rsidR="000454BE" w:rsidRPr="009C0E04">
        <w:rPr>
          <w:rFonts w:ascii="Arial" w:hAnsi="Arial" w:cs="Arial"/>
          <w:sz w:val="24"/>
          <w:szCs w:val="24"/>
        </w:rPr>
        <w:t>der 3. Ge</w:t>
      </w:r>
      <w:r w:rsidR="00DF3106" w:rsidRPr="009C0E04">
        <w:rPr>
          <w:rFonts w:ascii="Arial" w:hAnsi="Arial" w:cs="Arial"/>
          <w:sz w:val="24"/>
          <w:szCs w:val="24"/>
        </w:rPr>
        <w:t xml:space="preserve">neration der für optimierte Liquorgängigkeit und Überwindung von ALK-Resistenzmutationen konzipiert wurde. </w:t>
      </w:r>
      <w:r w:rsidR="00750BFF" w:rsidRPr="009C0E04">
        <w:rPr>
          <w:rFonts w:ascii="Arial" w:hAnsi="Arial" w:cs="Arial"/>
          <w:sz w:val="24"/>
          <w:szCs w:val="24"/>
        </w:rPr>
        <w:t xml:space="preserve">Mit einer intrakraniellen ORR von 59% </w:t>
      </w:r>
      <w:r w:rsidR="00E6421A" w:rsidRPr="009C0E04">
        <w:rPr>
          <w:rFonts w:ascii="Arial" w:hAnsi="Arial" w:cs="Arial"/>
          <w:sz w:val="24"/>
          <w:szCs w:val="24"/>
        </w:rPr>
        <w:t>(</w:t>
      </w:r>
      <w:r w:rsidR="00D147D2" w:rsidRPr="00A14BC1">
        <w:rPr>
          <w:rFonts w:ascii="Arial" w:hAnsi="Arial" w:cs="Arial"/>
          <w:sz w:val="24"/>
          <w:szCs w:val="24"/>
        </w:rPr>
        <w:t xml:space="preserve">intrakranielle progressionsfreie </w:t>
      </w:r>
      <w:r w:rsidR="006E2B11" w:rsidRPr="00A14BC1">
        <w:rPr>
          <w:rFonts w:ascii="Arial" w:hAnsi="Arial" w:cs="Arial"/>
          <w:sz w:val="24"/>
          <w:szCs w:val="24"/>
        </w:rPr>
        <w:t>R</w:t>
      </w:r>
      <w:r w:rsidR="00D147D2" w:rsidRPr="00A14BC1">
        <w:rPr>
          <w:rFonts w:ascii="Arial" w:hAnsi="Arial" w:cs="Arial"/>
          <w:sz w:val="24"/>
          <w:szCs w:val="24"/>
        </w:rPr>
        <w:t xml:space="preserve">ate nach 12 </w:t>
      </w:r>
      <w:r w:rsidR="002B50C5" w:rsidRPr="00A14BC1">
        <w:rPr>
          <w:rFonts w:ascii="Arial" w:hAnsi="Arial" w:cs="Arial"/>
          <w:sz w:val="24"/>
          <w:szCs w:val="24"/>
        </w:rPr>
        <w:t>Monaten von</w:t>
      </w:r>
      <w:r w:rsidR="00D147D2" w:rsidRPr="00A14BC1">
        <w:rPr>
          <w:rFonts w:ascii="Arial" w:hAnsi="Arial" w:cs="Arial"/>
          <w:sz w:val="24"/>
          <w:szCs w:val="24"/>
        </w:rPr>
        <w:t xml:space="preserve"> 81%</w:t>
      </w:r>
      <w:r w:rsidR="002B50C5" w:rsidRPr="009C0E04">
        <w:rPr>
          <w:rFonts w:ascii="Arial" w:hAnsi="Arial" w:cs="Arial"/>
          <w:sz w:val="24"/>
          <w:szCs w:val="24"/>
        </w:rPr>
        <w:t xml:space="preserve">) </w:t>
      </w:r>
      <w:r w:rsidR="00750BFF" w:rsidRPr="009C0E04">
        <w:rPr>
          <w:rFonts w:ascii="Arial" w:hAnsi="Arial" w:cs="Arial"/>
          <w:sz w:val="24"/>
          <w:szCs w:val="24"/>
        </w:rPr>
        <w:t xml:space="preserve">bei Patienten die unter einer </w:t>
      </w:r>
      <w:r w:rsidR="004106EA" w:rsidRPr="009C0E04">
        <w:rPr>
          <w:rFonts w:ascii="Arial" w:hAnsi="Arial" w:cs="Arial"/>
          <w:sz w:val="24"/>
          <w:szCs w:val="24"/>
        </w:rPr>
        <w:t xml:space="preserve">vorangegangenen </w:t>
      </w:r>
      <w:r w:rsidR="00750BFF" w:rsidRPr="009C0E04">
        <w:rPr>
          <w:rFonts w:ascii="Arial" w:hAnsi="Arial" w:cs="Arial"/>
          <w:sz w:val="24"/>
          <w:szCs w:val="24"/>
        </w:rPr>
        <w:t>ALK-Inhibitortherapie zerebrale Metastasen entwickel</w:t>
      </w:r>
      <w:r w:rsidR="00E6421A" w:rsidRPr="009C0E04">
        <w:rPr>
          <w:rFonts w:ascii="Arial" w:hAnsi="Arial" w:cs="Arial"/>
          <w:sz w:val="24"/>
          <w:szCs w:val="24"/>
        </w:rPr>
        <w:t>ten</w:t>
      </w:r>
      <w:r w:rsidR="002B50C5" w:rsidRPr="009C0E04">
        <w:rPr>
          <w:rFonts w:ascii="Arial" w:hAnsi="Arial" w:cs="Arial"/>
          <w:sz w:val="24"/>
          <w:szCs w:val="24"/>
        </w:rPr>
        <w:t xml:space="preserve"> ist dies eine sehr vielversprechende Substanz in dies</w:t>
      </w:r>
      <w:r w:rsidR="001C2A0C" w:rsidRPr="009C0E04">
        <w:rPr>
          <w:rFonts w:ascii="Arial" w:hAnsi="Arial" w:cs="Arial"/>
          <w:sz w:val="24"/>
          <w:szCs w:val="24"/>
        </w:rPr>
        <w:t>e</w:t>
      </w:r>
      <w:r w:rsidR="002B50C5" w:rsidRPr="009C0E04">
        <w:rPr>
          <w:rFonts w:ascii="Arial" w:hAnsi="Arial" w:cs="Arial"/>
          <w:sz w:val="24"/>
          <w:szCs w:val="24"/>
        </w:rPr>
        <w:t xml:space="preserve">m </w:t>
      </w:r>
      <w:r w:rsidR="00533989" w:rsidRPr="009C0E04">
        <w:rPr>
          <w:rFonts w:ascii="Arial" w:hAnsi="Arial" w:cs="Arial"/>
          <w:sz w:val="24"/>
          <w:szCs w:val="24"/>
        </w:rPr>
        <w:t>P</w:t>
      </w:r>
      <w:r w:rsidR="002B50C5" w:rsidRPr="009C0E04">
        <w:rPr>
          <w:rFonts w:ascii="Arial" w:hAnsi="Arial" w:cs="Arial"/>
          <w:sz w:val="24"/>
          <w:szCs w:val="24"/>
        </w:rPr>
        <w:t>roblemkollektiv.</w:t>
      </w:r>
      <w:r w:rsidR="00A218CC" w:rsidRPr="009C0E04">
        <w:rPr>
          <w:rFonts w:ascii="Arial" w:hAnsi="Arial" w:cs="Arial"/>
          <w:sz w:val="24"/>
          <w:szCs w:val="24"/>
        </w:rPr>
        <w:t xml:space="preserve"> </w:t>
      </w:r>
      <w:r w:rsidR="004B408B">
        <w:rPr>
          <w:rFonts w:ascii="Arial" w:hAnsi="Arial" w:cs="Arial"/>
          <w:sz w:val="24"/>
          <w:szCs w:val="24"/>
        </w:rPr>
        <w:fldChar w:fldCharType="begin" w:fldLock="1"/>
      </w:r>
      <w:r w:rsidR="0042445A">
        <w:rPr>
          <w:rFonts w:ascii="Arial" w:hAnsi="Arial" w:cs="Arial"/>
          <w:sz w:val="24"/>
          <w:szCs w:val="24"/>
        </w:rPr>
        <w:instrText>ADDIN CSL_CITATION {"citationItems":[{"id":"ITEM-1","itemData":{"DOI":"10.1200/JCO.2020.38.15_suppl.9595","ISSN":"0732-183X","abstract":"9595Background: Lorlatinib is a 3rd-generation ALK tyrosine kinase inhibitor (TKI) developed to penetrate the central nervous system (CNS) and overcome resistance to 2nd-generation (2nd-gen) ALK TKIs. In a phase II study, lorlatinib demonstrated significant intracranial (IC) activity after failure of 2nd-gen TKIs. As treatment discontinuation for extracranial (EC) progression can confound assessment of durability of IC response, we performed a phase II study (NCT02927340) to selectively evaluate lorlatinib activity in ALK+ pts with CNS-only disease. Methods: Between 11/2016 and 1/2019, 22 pts with IC progression on an ALK TKI with no other sites of measurable disease were enrolled at 2 institutions. Pts received lorlatinib at a starting dose of 100 mg QD. The primary endpoint was the IC disease control rate (DCR) at 12 weeks per modified RECIST v1.1. Secondary endpoints were IC objective response rate (ORR), duration of response (DOR), and progression-free survival (PFS). Results: Of the 22 pts enrolled, 21 (95%) had progressed on a 2nd-gen ALK TKI and 14 (64%) had previously received CNS radiation (median 21.1 months between radiation and lorlatinib). Median number of prior ALK TKIs was 2 (range 1-4). As of the data cutoff of 12/15/19, median follow-up was 14 months. At 12 weeks, the IC-DCR was 95%, including 8 pts with stable disease. Best IC ORR was 59% with 6 complete and 7 partial responses. Nine (41%) pts relapsed on study, including 3 IC-only, 5 EC-only, and 1 combined relapse. Four pts continued treatment beyond EC-only progression. Although median IC DOR and PFS were not estimable due to few progression events, the IC progression-free rate at 12 months was 81% (95% CI: 53%-94%). Twelve pts have discontinued study treatment due to progression (n = 6), edema (n = 1), pulmonary hypertension (n = 1), or transition to commercial lorlatinib (n = 4). Conclusions: Lorlatinib induces durable intracranial responses in pts with CNS-only progression on 2nd-gen ALK TKIs, suggesting that CNS-specific relapses are primarily driven by ALK-dependent mechanisms. Further studies are needed to characterize the molecular basis of sensitivity to lorlatinib in this unique subgroup of pts with ALK+ lung cancer. Clinical trial information: NCT02927340.","author":[{"dropping-particle":"","family":"Dagogo-Jack","given":"Ibiayi","non-dropping-particle":"","parse-names":false,"suffix":""},{"dropping-particle":"","family":"Oxnard","given":"Geoffrey R","non-dropping-particle":"","parse-names":false,"suffix":""},{"dropping-particle":"","family":"Fink","given":"Jessica","non-dropping-particle":"","parse-names":false,"suffix":""},{"dropping-particle":"","family":"Diubaldi","given":"Gianluca","non-dropping-particle":"","parse-names":false,"suffix":""},{"dropping-particle":"","family":"Helms","given":"Caitlyn","non-dropping-particle":"","parse-names":false,"suffix":""},{"dropping-particle":"","family":"Gainor","given":"Justin F","non-dropping-particle":"","parse-names":false,"suffix":""},{"dropping-particle":"","family":"Rabin","given":"Michael S","non-dropping-particle":"","parse-names":false,"suffix":""},{"dropping-particle":"","family":"Heist","given":"Rebecca Suk","non-dropping-particle":"","parse-names":false,"suffix":""},{"dropping-particle":"","family":"Lin","given":"Jessica Jiyeong","non-dropping-particle":"","parse-names":false,"suffix":""},{"dropping-particle":"","family":"Ackil","given":"Jennifer","non-dropping-particle":"","parse-names":false,"suffix":""},{"dropping-particle":"","family":"Muzikansky","given":"Alona","non-dropping-particle":"","parse-names":false,"suffix":""},{"dropping-particle":"","family":"Shaw","given":"Alice Tsang","non-dropping-particle":"","parse-names":false,"suffix":""}],"container-title":"Journal of Clinical Oncology","id":"ITEM-1","issue":"15_suppl","issued":{"date-parts":[["2020","5","20"]]},"note":"doi: 10.1200/JCO.2020.38.15_suppl.9595","page":"9595","publisher":"American Society of Clinical Oncology","title":"A phase II study of lorlatinib in patients (pts) with ALK-positive (ALK+) lung cancer with brain-only progression.","type":"article-journal","volume":"38"},"uris":["http://www.mendeley.com/documents/?uuid=e458e66a-4d12-4536-98f3-e3881e422c4f"]}],"mendeley":{"formattedCitation":"&lt;sup&gt;35&lt;/sup&gt;","plainTextFormattedCitation":"35","previouslyFormattedCitation":"&lt;sup&gt;34&lt;/sup&gt;"},"properties":{"noteIndex":0},"schema":"https://github.com/citation-style-language/schema/raw/master/csl-citation.json"}</w:instrText>
      </w:r>
      <w:r w:rsidR="004B408B">
        <w:rPr>
          <w:rFonts w:ascii="Arial" w:hAnsi="Arial" w:cs="Arial"/>
          <w:sz w:val="24"/>
          <w:szCs w:val="24"/>
        </w:rPr>
        <w:fldChar w:fldCharType="separate"/>
      </w:r>
      <w:r w:rsidR="0042445A" w:rsidRPr="0042445A">
        <w:rPr>
          <w:rFonts w:ascii="Arial" w:hAnsi="Arial" w:cs="Arial"/>
          <w:noProof/>
          <w:sz w:val="24"/>
          <w:szCs w:val="24"/>
          <w:vertAlign w:val="superscript"/>
        </w:rPr>
        <w:t>35</w:t>
      </w:r>
      <w:r w:rsidR="004B408B">
        <w:rPr>
          <w:rFonts w:ascii="Arial" w:hAnsi="Arial" w:cs="Arial"/>
          <w:sz w:val="24"/>
          <w:szCs w:val="24"/>
        </w:rPr>
        <w:fldChar w:fldCharType="end"/>
      </w:r>
    </w:p>
    <w:p w14:paraId="46C71A7D" w14:textId="70698361" w:rsidR="004D49C1" w:rsidRPr="009C0E04" w:rsidRDefault="00231A8A" w:rsidP="009C0E04">
      <w:pPr>
        <w:pStyle w:val="Kommentartext"/>
        <w:spacing w:line="360" w:lineRule="auto"/>
        <w:jc w:val="both"/>
        <w:rPr>
          <w:rFonts w:ascii="Arial" w:hAnsi="Arial" w:cs="Arial"/>
          <w:sz w:val="24"/>
          <w:szCs w:val="24"/>
        </w:rPr>
      </w:pPr>
      <w:r w:rsidRPr="009C0E04">
        <w:rPr>
          <w:rFonts w:ascii="Arial" w:hAnsi="Arial" w:cs="Arial"/>
          <w:sz w:val="24"/>
          <w:szCs w:val="24"/>
        </w:rPr>
        <w:t xml:space="preserve">Für </w:t>
      </w:r>
      <w:r w:rsidR="0034123E" w:rsidRPr="009C0E04">
        <w:rPr>
          <w:rFonts w:ascii="Arial" w:hAnsi="Arial" w:cs="Arial"/>
          <w:sz w:val="24"/>
          <w:szCs w:val="24"/>
        </w:rPr>
        <w:t>ROS</w:t>
      </w:r>
      <w:r w:rsidR="008D38DB" w:rsidRPr="009C0E04">
        <w:rPr>
          <w:rFonts w:ascii="Arial" w:hAnsi="Arial" w:cs="Arial"/>
          <w:sz w:val="24"/>
          <w:szCs w:val="24"/>
        </w:rPr>
        <w:t>1</w:t>
      </w:r>
      <w:r w:rsidR="0034123E" w:rsidRPr="009C0E04">
        <w:rPr>
          <w:rFonts w:ascii="Arial" w:hAnsi="Arial" w:cs="Arial"/>
          <w:sz w:val="24"/>
          <w:szCs w:val="24"/>
        </w:rPr>
        <w:t>-mutierte Karzinome (ca. 1%)</w:t>
      </w:r>
      <w:r w:rsidRPr="009C0E04">
        <w:rPr>
          <w:rFonts w:ascii="Arial" w:hAnsi="Arial" w:cs="Arial"/>
          <w:sz w:val="24"/>
          <w:szCs w:val="24"/>
        </w:rPr>
        <w:t xml:space="preserve"> zeigt der </w:t>
      </w:r>
      <w:r w:rsidR="000C0D8A" w:rsidRPr="009C0E04">
        <w:rPr>
          <w:rFonts w:ascii="Arial" w:hAnsi="Arial" w:cs="Arial"/>
          <w:sz w:val="24"/>
          <w:szCs w:val="24"/>
        </w:rPr>
        <w:t>ZNS-</w:t>
      </w:r>
      <w:r w:rsidRPr="009C0E04">
        <w:rPr>
          <w:rFonts w:ascii="Arial" w:hAnsi="Arial" w:cs="Arial"/>
          <w:sz w:val="24"/>
          <w:szCs w:val="24"/>
        </w:rPr>
        <w:t xml:space="preserve">pharmakokinetisch optimierte </w:t>
      </w:r>
      <w:r w:rsidR="000C0D8A" w:rsidRPr="009C0E04">
        <w:rPr>
          <w:rFonts w:ascii="Arial" w:hAnsi="Arial" w:cs="Arial"/>
          <w:sz w:val="24"/>
          <w:szCs w:val="24"/>
        </w:rPr>
        <w:t xml:space="preserve">TKI Entrectinib </w:t>
      </w:r>
      <w:r w:rsidR="00A329A1" w:rsidRPr="009C0E04">
        <w:rPr>
          <w:rFonts w:ascii="Arial" w:hAnsi="Arial" w:cs="Arial"/>
          <w:sz w:val="24"/>
          <w:szCs w:val="24"/>
        </w:rPr>
        <w:t xml:space="preserve">gute </w:t>
      </w:r>
      <w:r w:rsidR="000C0D8A" w:rsidRPr="009C0E04">
        <w:rPr>
          <w:rFonts w:ascii="Arial" w:hAnsi="Arial" w:cs="Arial"/>
          <w:sz w:val="24"/>
          <w:szCs w:val="24"/>
        </w:rPr>
        <w:t>Aktivitätsdaten.</w:t>
      </w:r>
      <w:r w:rsidR="004B408B">
        <w:rPr>
          <w:rFonts w:ascii="Arial" w:hAnsi="Arial" w:cs="Arial"/>
          <w:sz w:val="24"/>
          <w:szCs w:val="24"/>
        </w:rPr>
        <w:fldChar w:fldCharType="begin" w:fldLock="1"/>
      </w:r>
      <w:r w:rsidR="0042445A">
        <w:rPr>
          <w:rFonts w:ascii="Arial" w:hAnsi="Arial" w:cs="Arial"/>
          <w:sz w:val="24"/>
          <w:szCs w:val="24"/>
        </w:rPr>
        <w:instrText>ADDIN CSL_CITATION {"citationItems":[{"id":"ITEM-1","itemData":{"DOI":"10.1016/S1470-2045(19)30690-4","ISSN":"14745488","PMID":"31838015","abstract":"Background: Recurrent gene fusions, such as ROS1 fusions, are oncogenic drivers of various cancers, including non-small-cell lung cancer (NSCLC). Up to 36% of patients with ROS1 fusion-positive NSCLC have brain metastases at the diagnosis of advanced disease. Entrectinib is a ROS1 inhibitor that has been designed to effectively penetrate and remain in the CNS. We explored the use of entrectinib in patients with locally advanced or metastatic ROS1 fusion-positive NSCLC. Methods: We did an integrated analysis of three ongoing phase 1 or 2 trials of entrectinib (ALKA-372-001, STARTRK-1, and STARTRK-2). The efficacy-evaluable population included adult patients (aged ≥18 years) with locally advanced or metastatic ROS1 fusion-positive NSCLC who received entrectinib at a dose of at least 600 mg orally once per day, with at least 12 months' follow-up. All patients had an Eastern Cooperative Oncology Group performance status of 0–2, and previous cancer treatment (except for ROS1 inhibitors) was allowed. The primary endpoints were the proportion of patients with an objective response (complete or partial response according to Response Evaluation Criteria in Solid Tumors version 1.1) and duration of response, and were evaluated by blinded independent central review. The safety-evaluable population for the safety analysis included all patients with ROS1 fusion-positive NSCLC in the three trials who received at least one dose of entrectinib (irrespective of dose or duration of follow-up). These ongoing studies are registered with ClinicalTrials.gov, NCT02097810 (STARTRK-1) and NCT02568267 (STARTRK-2), and EudraCT, 2012–000148–88 (ALKA-372-001). Findings: Patients were enrolled in ALKA-372-001 from Oct 26, 2012, to March 27, 2018; in STARTRK-1 from Aug 7, 2014, to May 10, 2018; and in STARTRK-2 from Nov 19, 2015 (enrolment is ongoing). At the data cutoff date for this analysis (May 31, 2018), 41 (77%; 95% CI 64–88) of 53 patients in the efficacy-evaluable population had an objective response. Median follow-up was 15·5 monhts (IQR 13·4–20·2). Median duration of response was 24·6 months (95% CI 11·4–34·8). In the safety-evaluable population, 79 (59%) of 134 patients had grade 1 or 2 treatment-related adverse events. 46 (34%) of 134 patients had grade 3 or 4 treatment-related adverse events, with the most common being weight increase (ten [8%]) and neutropenia (five [4%]). 15 (11%) patients had serious treatment-related adverse events, the most common of which were nerv…","author":[{"dropping-particle":"","family":"Drilon","given":"Alexander","non-dropping-particle":"","parse-names":false,"suffix":""},{"dropping-particle":"","family":"Siena","given":"Salvatore","non-dropping-particle":"","parse-names":false,"suffix":""},{"dropping-particle":"","family":"Dziadziuszko","given":"Rafal","non-dropping-particle":"","parse-names":false,"suffix":""},{"dropping-particle":"","family":"Barlesi","given":"Fabrice","non-dropping-particle":"","parse-names":false,"suffix":""},{"dropping-particle":"","family":"Krebs","given":"Matthew G.","non-dropping-particle":"","parse-names":false,"suffix":""},{"dropping-particle":"","family":"Shaw","given":"Alice T.","non-dropping-particle":"","parse-names":false,"suffix":""},{"dropping-particle":"","family":"Braud","given":"Filippo","non-dropping-particle":"de","parse-names":false,"suffix":""},{"dropping-particle":"","family":"Rolfo","given":"Christian","non-dropping-particle":"","parse-names":false,"suffix":""},{"dropping-particle":"","family":"Ahn","given":"Myung Ju","non-dropping-particle":"","parse-names":false,"suffix":""},{"dropping-particle":"","family":"Wolf","given":"Jürgen","non-dropping-particle":"","parse-names":false,"suffix":""},{"dropping-particle":"","family":"Seto","given":"Takashi","non-dropping-particle":"","parse-names":false,"suffix":""},{"dropping-particle":"","family":"Cho","given":"Byoung Chul","non-dropping-particle":"","parse-names":false,"suffix":""},{"dropping-particle":"","family":"Patel","given":"Manish R.","non-dropping-particle":"","parse-names":false,"suffix":""},{"dropping-particle":"","family":"Chiu","given":"Chao Hua","non-dropping-particle":"","parse-names":false,"suffix":""},{"dropping-particle":"","family":"John","given":"Thomas","non-dropping-particle":"","parse-names":false,"suffix":""},{"dropping-particle":"","family":"Goto","given":"Koichi","non-dropping-particle":"","parse-names":false,"suffix":""},{"dropping-particle":"","family":"Karapetis","given":"Christos S.","non-dropping-particle":"","parse-names":false,"suffix":""},{"dropping-particle":"","family":"Arkenau","given":"Hendrick Tobias","non-dropping-particle":"","parse-names":false,"suffix":""},{"dropping-particle":"","family":"Kim","given":"Sang We","non-dropping-particle":"","parse-names":false,"suffix":""},{"dropping-particle":"","family":"Ohe","given":"Yuichiro","non-dropping-particle":"","parse-names":false,"suffix":""},{"dropping-particle":"","family":"Li","given":"Yu Chung","non-dropping-particle":"","parse-names":false,"suffix":""},{"dropping-particle":"","family":"Chae","given":"Young K.","non-dropping-particle":"","parse-names":false,"suffix":""},{"dropping-particle":"","family":"Chung","given":"Christine H.","non-dropping-particle":"","parse-names":false,"suffix":""},{"dropping-particle":"","family":"Otterson","given":"Gregory A.","non-dropping-particle":"","parse-names":false,"suffix":""},{"dropping-particle":"","family":"Murakami","given":"Haruyasu","non-dropping-particle":"","parse-names":false,"suffix":""},{"dropping-particle":"","family":"Lin","given":"Chia Chi","non-dropping-particle":"","parse-names":false,"suffix":""},{"dropping-particle":"","family":"Tan","given":"Daniel S.W.","non-dropping-particle":"","parse-names":false,"suffix":""},{"dropping-particle":"","family":"Prenen","given":"Hans","non-dropping-particle":"","parse-names":false,"suffix":""},{"dropping-particle":"","family":"Riehl","given":"Todd","non-dropping-particle":"","parse-names":false,"suffix":""},{"dropping-particle":"","family":"Chow-Maneval","given":"Edna","non-dropping-particle":"","parse-names":false,"suffix":""},{"dropping-particle":"","family":"Simmons","given":"Brian","non-dropping-particle":"","parse-names":false,"suffix":""},{"dropping-particle":"","family":"Cui","given":"Na","non-dropping-particle":"","parse-names":false,"suffix":""},{"dropping-particle":"","family":"Johnson","given":"Ann","non-dropping-particle":"","parse-names":false,"suffix":""},{"dropping-particle":"","family":"Eng","given":"Susan","non-dropping-particle":"","parse-names":false,"suffix":""},{"dropping-particle":"","family":"Wilson","given":"Timothy R.","non-dropping-particle":"","parse-names":false,"suffix":""},{"dropping-particle":"","family":"Doebele","given":"Robert C.","non-dropping-particle":"","parse-names":false,"suffix":""}],"container-title":"The Lancet Oncology","id":"ITEM-1","issue":"2","issued":{"date-parts":[["2020","2","1"]]},"page":"261-270","publisher":"Lancet Publishing Group","title":"Entrectinib in ROS1 fusion-positive non-small-cell lung cancer: integrated analysis of three phase 1–2 trials","type":"article-journal","volume":"21"},"uris":["http://www.mendeley.com/documents/?uuid=37cd3eae-ed5e-3e23-b115-f30ef954b6fc"]}],"mendeley":{"formattedCitation":"&lt;sup&gt;36&lt;/sup&gt;","plainTextFormattedCitation":"36","previouslyFormattedCitation":"&lt;sup&gt;35&lt;/sup&gt;"},"properties":{"noteIndex":0},"schema":"https://github.com/citation-style-language/schema/raw/master/csl-citation.json"}</w:instrText>
      </w:r>
      <w:r w:rsidR="004B408B">
        <w:rPr>
          <w:rFonts w:ascii="Arial" w:hAnsi="Arial" w:cs="Arial"/>
          <w:sz w:val="24"/>
          <w:szCs w:val="24"/>
        </w:rPr>
        <w:fldChar w:fldCharType="separate"/>
      </w:r>
      <w:r w:rsidR="0042445A" w:rsidRPr="0042445A">
        <w:rPr>
          <w:rFonts w:ascii="Arial" w:hAnsi="Arial" w:cs="Arial"/>
          <w:noProof/>
          <w:sz w:val="24"/>
          <w:szCs w:val="24"/>
          <w:vertAlign w:val="superscript"/>
        </w:rPr>
        <w:t>36</w:t>
      </w:r>
      <w:r w:rsidR="004B408B">
        <w:rPr>
          <w:rFonts w:ascii="Arial" w:hAnsi="Arial" w:cs="Arial"/>
          <w:sz w:val="24"/>
          <w:szCs w:val="24"/>
        </w:rPr>
        <w:fldChar w:fldCharType="end"/>
      </w:r>
    </w:p>
    <w:p w14:paraId="6D98F15B" w14:textId="77777777" w:rsidR="00A14BC1" w:rsidRDefault="00A14BC1" w:rsidP="00BD6A3B">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eastAsia="Times New Roman"/>
          <w:i/>
          <w:color w:val="000000"/>
          <w:u w:val="single"/>
          <w:lang w:val="de-AT" w:eastAsia="de-AT"/>
        </w:rPr>
      </w:pPr>
    </w:p>
    <w:p w14:paraId="70D606B6" w14:textId="77777777" w:rsidR="00A14BC1" w:rsidRPr="00BA2996" w:rsidRDefault="00A14BC1" w:rsidP="00A14BC1">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eastAsia="Times New Roman"/>
          <w:i/>
          <w:color w:val="000000"/>
          <w:u w:val="single"/>
          <w:lang w:val="de-AT" w:eastAsia="de-AT"/>
        </w:rPr>
      </w:pPr>
      <w:r w:rsidRPr="00BA2996">
        <w:rPr>
          <w:rFonts w:eastAsia="Times New Roman"/>
          <w:i/>
          <w:color w:val="000000"/>
          <w:u w:val="single"/>
          <w:lang w:val="de-AT" w:eastAsia="de-AT"/>
        </w:rPr>
        <w:t>Mammakarzinom</w:t>
      </w:r>
    </w:p>
    <w:p w14:paraId="5DCC70B9" w14:textId="77777777" w:rsidR="00A14BC1" w:rsidRPr="003A1C78" w:rsidRDefault="00A14BC1" w:rsidP="00A14BC1">
      <w:pPr>
        <w:autoSpaceDE w:val="0"/>
        <w:autoSpaceDN w:val="0"/>
        <w:adjustRightInd w:val="0"/>
        <w:spacing w:line="360" w:lineRule="auto"/>
        <w:jc w:val="both"/>
        <w:rPr>
          <w:rFonts w:ascii="Arial" w:hAnsi="Arial" w:cs="Arial"/>
          <w:sz w:val="24"/>
          <w:szCs w:val="24"/>
        </w:rPr>
      </w:pPr>
      <w:r w:rsidRPr="00BA2996">
        <w:rPr>
          <w:rFonts w:ascii="Arial" w:eastAsia="Times New Roman" w:hAnsi="Arial" w:cs="Arial"/>
          <w:color w:val="000000"/>
          <w:sz w:val="24"/>
          <w:szCs w:val="24"/>
          <w:lang w:val="de-AT" w:eastAsia="de-AT"/>
        </w:rPr>
        <w:t xml:space="preserve">Die Inzidenz von parenchymalen ZNS Metastasen beim Mammakarzinom ist von ca. 10% auf bis zu </w:t>
      </w:r>
      <w:r w:rsidRPr="00BA2996">
        <w:rPr>
          <w:rFonts w:ascii="Arial" w:eastAsia="Times New Roman" w:hAnsi="Arial" w:cs="Arial"/>
          <w:sz w:val="24"/>
          <w:szCs w:val="24"/>
          <w:lang w:val="de-AT" w:eastAsia="de-AT"/>
        </w:rPr>
        <w:t>40%</w:t>
      </w:r>
      <w:r w:rsidRPr="00BA2996">
        <w:rPr>
          <w:rFonts w:ascii="Arial" w:eastAsia="Times New Roman" w:hAnsi="Arial" w:cs="Arial"/>
          <w:color w:val="000000"/>
          <w:sz w:val="24"/>
          <w:szCs w:val="24"/>
          <w:lang w:val="de-AT" w:eastAsia="de-AT"/>
        </w:rPr>
        <w:t xml:space="preserve"> </w:t>
      </w:r>
      <w:r>
        <w:rPr>
          <w:rFonts w:ascii="Arial" w:eastAsia="Times New Roman" w:hAnsi="Arial" w:cs="Arial"/>
          <w:color w:val="000000"/>
          <w:sz w:val="24"/>
          <w:szCs w:val="24"/>
          <w:lang w:val="de-AT" w:eastAsia="de-AT"/>
        </w:rPr>
        <w:t xml:space="preserve">deutlich </w:t>
      </w:r>
      <w:r w:rsidRPr="00BA2996">
        <w:rPr>
          <w:rFonts w:ascii="Arial" w:eastAsia="Times New Roman" w:hAnsi="Arial" w:cs="Arial"/>
          <w:color w:val="000000"/>
          <w:sz w:val="24"/>
          <w:szCs w:val="24"/>
          <w:lang w:val="de-AT" w:eastAsia="de-AT"/>
        </w:rPr>
        <w:t xml:space="preserve">gestiegen. Dies liegt vor allem an den effektiveren Behandlungsoptionen für die </w:t>
      </w:r>
      <w:r w:rsidRPr="00BA2996">
        <w:rPr>
          <w:rFonts w:ascii="Arial" w:hAnsi="Arial" w:cs="Arial"/>
          <w:bCs/>
          <w:sz w:val="24"/>
          <w:szCs w:val="24"/>
        </w:rPr>
        <w:t xml:space="preserve">extrazerebralen Metastasen </w:t>
      </w:r>
      <w:r w:rsidRPr="00BA2996">
        <w:rPr>
          <w:rFonts w:ascii="Arial" w:hAnsi="Arial" w:cs="Arial"/>
          <w:sz w:val="24"/>
          <w:szCs w:val="24"/>
        </w:rPr>
        <w:t>und dem v</w:t>
      </w:r>
      <w:r w:rsidRPr="00BA2996">
        <w:rPr>
          <w:rFonts w:ascii="Arial" w:hAnsi="Arial" w:cs="Arial"/>
          <w:bCs/>
          <w:sz w:val="24"/>
          <w:szCs w:val="24"/>
        </w:rPr>
        <w:t>ermehrten Einsatz der MRT-Diagnostik. Eine leptomeningeale Aussaht findet sich in ca. 5-15%. Die molekularen Subtypen mit dem höchsten Risiko für ZNS Metastasen sind vor allem die aggressiven HER2-positiven, die „triple“-negativen oder die HER2-negativen Luminal B Tumore mit hoher Ki67+ Proliferationsrate. Die ZNS Metastase(n) zeigt dabei in 10-25% der Fäl</w:t>
      </w:r>
      <w:r w:rsidRPr="003A1C78">
        <w:rPr>
          <w:rFonts w:ascii="Arial" w:hAnsi="Arial" w:cs="Arial"/>
          <w:bCs/>
          <w:sz w:val="24"/>
          <w:szCs w:val="24"/>
        </w:rPr>
        <w:t>le eine Diskordanz der Hormonrezeptor- oder HER2 Expression, häufig mit einer Anreicherung von Östrogenrezeptor-negativen oder HER2-positiven Tumorklonen. Evidenz-grad basierte Empfehlungen zum chirurgischen und strahlentherapeutischen Vorgehen bei singulären, oligo-metastatischen oder multiplen Läsionen sind in der S3-Leitlinie abgebildet (</w:t>
      </w:r>
      <w:hyperlink r:id="rId10" w:history="1">
        <w:r w:rsidRPr="003A1C78">
          <w:rPr>
            <w:rStyle w:val="Hyperlink"/>
            <w:rFonts w:ascii="Arial" w:hAnsi="Arial" w:cs="Arial"/>
            <w:bCs/>
            <w:sz w:val="24"/>
            <w:szCs w:val="24"/>
          </w:rPr>
          <w:t>https://www.leitlinienprogramm-onkologie.de/leitlinien/mammakarzinom/</w:t>
        </w:r>
      </w:hyperlink>
      <w:r w:rsidRPr="003A1C78">
        <w:rPr>
          <w:rFonts w:ascii="Arial" w:hAnsi="Arial" w:cs="Arial"/>
          <w:bCs/>
          <w:sz w:val="24"/>
          <w:szCs w:val="24"/>
        </w:rPr>
        <w:t xml:space="preserve">).    </w:t>
      </w:r>
      <w:r w:rsidRPr="003A1C78">
        <w:rPr>
          <w:rFonts w:ascii="Arial" w:hAnsi="Arial" w:cs="Arial"/>
          <w:sz w:val="24"/>
          <w:szCs w:val="24"/>
        </w:rPr>
        <w:t xml:space="preserve">Oberstes Prinzip bei </w:t>
      </w:r>
      <w:r w:rsidRPr="00BA2996">
        <w:rPr>
          <w:rFonts w:ascii="Arial" w:hAnsi="Arial" w:cs="Arial"/>
          <w:bCs/>
          <w:color w:val="000000"/>
          <w:sz w:val="24"/>
          <w:szCs w:val="24"/>
        </w:rPr>
        <w:t xml:space="preserve">Erstdiagnose </w:t>
      </w:r>
      <w:r w:rsidRPr="003A1C78">
        <w:rPr>
          <w:rFonts w:ascii="Arial" w:hAnsi="Arial" w:cs="Arial"/>
          <w:bCs/>
          <w:sz w:val="24"/>
          <w:szCs w:val="24"/>
        </w:rPr>
        <w:t xml:space="preserve">einer </w:t>
      </w:r>
      <w:r w:rsidRPr="00BA2996">
        <w:rPr>
          <w:rFonts w:ascii="Arial" w:hAnsi="Arial" w:cs="Arial"/>
          <w:bCs/>
          <w:color w:val="000000"/>
          <w:sz w:val="24"/>
          <w:szCs w:val="24"/>
        </w:rPr>
        <w:t>zerebrale</w:t>
      </w:r>
      <w:r w:rsidRPr="003A1C78">
        <w:rPr>
          <w:rFonts w:ascii="Arial" w:hAnsi="Arial" w:cs="Arial"/>
          <w:bCs/>
          <w:sz w:val="24"/>
          <w:szCs w:val="24"/>
        </w:rPr>
        <w:t xml:space="preserve">n </w:t>
      </w:r>
      <w:r w:rsidRPr="00BA2996">
        <w:rPr>
          <w:rFonts w:ascii="Arial" w:hAnsi="Arial" w:cs="Arial"/>
          <w:bCs/>
          <w:color w:val="000000"/>
          <w:sz w:val="24"/>
          <w:szCs w:val="24"/>
        </w:rPr>
        <w:t>Metastas</w:t>
      </w:r>
      <w:r w:rsidRPr="003A1C78">
        <w:rPr>
          <w:rFonts w:ascii="Arial" w:hAnsi="Arial" w:cs="Arial"/>
          <w:bCs/>
          <w:sz w:val="24"/>
          <w:szCs w:val="24"/>
        </w:rPr>
        <w:t>ierung u</w:t>
      </w:r>
      <w:r w:rsidRPr="00BA2996">
        <w:rPr>
          <w:rFonts w:ascii="Arial" w:hAnsi="Arial" w:cs="Arial"/>
          <w:bCs/>
          <w:color w:val="000000"/>
          <w:sz w:val="24"/>
          <w:szCs w:val="24"/>
        </w:rPr>
        <w:t>nd bei extrazerebral stabiler Erkrankungssituation</w:t>
      </w:r>
      <w:r w:rsidRPr="003A1C78">
        <w:rPr>
          <w:rFonts w:ascii="Arial" w:hAnsi="Arial" w:cs="Arial"/>
          <w:bCs/>
          <w:sz w:val="24"/>
          <w:szCs w:val="24"/>
        </w:rPr>
        <w:t xml:space="preserve"> ist das B</w:t>
      </w:r>
      <w:r w:rsidRPr="00BA2996">
        <w:rPr>
          <w:rFonts w:ascii="Arial" w:hAnsi="Arial" w:cs="Arial"/>
          <w:bCs/>
          <w:color w:val="000000"/>
          <w:sz w:val="24"/>
          <w:szCs w:val="24"/>
        </w:rPr>
        <w:t>eibehalte</w:t>
      </w:r>
      <w:r w:rsidRPr="003A1C78">
        <w:rPr>
          <w:rFonts w:ascii="Arial" w:hAnsi="Arial" w:cs="Arial"/>
          <w:bCs/>
          <w:color w:val="000000"/>
          <w:sz w:val="24"/>
          <w:szCs w:val="24"/>
        </w:rPr>
        <w:t xml:space="preserve">n des aktuellen </w:t>
      </w:r>
      <w:r w:rsidRPr="003A1C78">
        <w:rPr>
          <w:rFonts w:ascii="Arial" w:hAnsi="Arial" w:cs="Arial"/>
          <w:bCs/>
          <w:sz w:val="24"/>
          <w:szCs w:val="24"/>
        </w:rPr>
        <w:t>Schemas der systemischen T</w:t>
      </w:r>
      <w:r w:rsidRPr="003A1C78">
        <w:rPr>
          <w:rFonts w:ascii="Arial" w:hAnsi="Arial" w:cs="Arial"/>
          <w:bCs/>
          <w:color w:val="000000"/>
          <w:sz w:val="24"/>
          <w:szCs w:val="24"/>
        </w:rPr>
        <w:t>herapie</w:t>
      </w:r>
      <w:r w:rsidRPr="003A1C78">
        <w:rPr>
          <w:rFonts w:ascii="Arial" w:hAnsi="Arial" w:cs="Arial"/>
          <w:bCs/>
          <w:sz w:val="24"/>
          <w:szCs w:val="24"/>
        </w:rPr>
        <w:t xml:space="preserve">, z.B. bestehend aus Zytostatika, HER2-Antagonisierung und hormoneller Modulation. Anpassungen erfolgen bei Progress, Änderungen des Rezeptorstatus oder bei limitierendem Allgemeinzustand. </w:t>
      </w:r>
      <w:r>
        <w:rPr>
          <w:rFonts w:ascii="Arial" w:hAnsi="Arial" w:cs="Arial"/>
          <w:bCs/>
          <w:sz w:val="24"/>
          <w:szCs w:val="24"/>
        </w:rPr>
        <w:t xml:space="preserve">Der EGFR/HER2 TKI </w:t>
      </w:r>
      <w:r w:rsidRPr="00BA2996">
        <w:rPr>
          <w:rFonts w:ascii="Arial" w:hAnsi="Arial" w:cs="Arial"/>
          <w:bCs/>
          <w:color w:val="000000"/>
          <w:sz w:val="24"/>
          <w:szCs w:val="24"/>
        </w:rPr>
        <w:t xml:space="preserve">Lapatinib </w:t>
      </w:r>
      <w:r>
        <w:rPr>
          <w:rFonts w:ascii="Arial" w:hAnsi="Arial" w:cs="Arial"/>
          <w:bCs/>
          <w:color w:val="000000"/>
          <w:sz w:val="24"/>
          <w:szCs w:val="24"/>
        </w:rPr>
        <w:t>in Kombination mit</w:t>
      </w:r>
      <w:r w:rsidRPr="00BA2996">
        <w:rPr>
          <w:rFonts w:ascii="Arial" w:hAnsi="Arial" w:cs="Arial"/>
          <w:bCs/>
          <w:color w:val="000000"/>
          <w:sz w:val="24"/>
          <w:szCs w:val="24"/>
        </w:rPr>
        <w:t xml:space="preserve"> Capecitabin</w:t>
      </w:r>
      <w:r>
        <w:rPr>
          <w:rFonts w:ascii="Arial" w:hAnsi="Arial" w:cs="Arial"/>
          <w:bCs/>
          <w:color w:val="000000"/>
          <w:sz w:val="24"/>
          <w:szCs w:val="24"/>
        </w:rPr>
        <w:t xml:space="preserve"> ist eine sehr effektive Option bei </w:t>
      </w:r>
      <w:r w:rsidRPr="00BA2996">
        <w:rPr>
          <w:rFonts w:ascii="Arial" w:hAnsi="Arial" w:cs="Arial"/>
          <w:bCs/>
          <w:color w:val="000000"/>
          <w:sz w:val="24"/>
          <w:szCs w:val="24"/>
        </w:rPr>
        <w:t>HER2</w:t>
      </w:r>
      <w:r>
        <w:rPr>
          <w:rFonts w:ascii="Arial" w:hAnsi="Arial" w:cs="Arial"/>
          <w:bCs/>
          <w:color w:val="000000"/>
          <w:sz w:val="24"/>
          <w:szCs w:val="24"/>
        </w:rPr>
        <w:t>-</w:t>
      </w:r>
      <w:r w:rsidRPr="00BA2996">
        <w:rPr>
          <w:rFonts w:ascii="Arial" w:hAnsi="Arial" w:cs="Arial"/>
          <w:bCs/>
          <w:color w:val="000000"/>
          <w:sz w:val="24"/>
          <w:szCs w:val="24"/>
        </w:rPr>
        <w:t>pos</w:t>
      </w:r>
      <w:r>
        <w:rPr>
          <w:rFonts w:ascii="Arial" w:hAnsi="Arial" w:cs="Arial"/>
          <w:bCs/>
          <w:color w:val="000000"/>
          <w:sz w:val="24"/>
          <w:szCs w:val="24"/>
        </w:rPr>
        <w:t xml:space="preserve">itiven Karzinomen mit synchronen oder mit den unter dem HER2-Antikörper Trastuzumab gehäuft auftretenden metachronen ZNS Manifestationen. </w:t>
      </w:r>
      <w:r w:rsidRPr="003A1C78">
        <w:rPr>
          <w:rFonts w:ascii="Arial" w:hAnsi="Arial" w:cs="Arial"/>
          <w:bCs/>
          <w:color w:val="000000"/>
          <w:sz w:val="24"/>
          <w:szCs w:val="24"/>
        </w:rPr>
        <w:t xml:space="preserve">Die spezifische Rolle der Inhibitoren von CDK4/6, PARP, AKT oder der Immuncheckpoints ist </w:t>
      </w:r>
      <w:r w:rsidRPr="003A1C78">
        <w:rPr>
          <w:rFonts w:ascii="Arial" w:hAnsi="Arial" w:cs="Arial"/>
          <w:bCs/>
          <w:sz w:val="24"/>
          <w:szCs w:val="24"/>
        </w:rPr>
        <w:t>im Kontext von ZNS Metastasen</w:t>
      </w:r>
      <w:r w:rsidRPr="003A1C78">
        <w:rPr>
          <w:rFonts w:ascii="Arial" w:hAnsi="Arial" w:cs="Arial"/>
          <w:bCs/>
          <w:color w:val="000000"/>
          <w:sz w:val="24"/>
          <w:szCs w:val="24"/>
        </w:rPr>
        <w:t xml:space="preserve"> noch zu definieren. </w:t>
      </w:r>
      <w:r w:rsidRPr="00BA2996">
        <w:rPr>
          <w:rFonts w:ascii="Arial" w:hAnsi="Arial" w:cs="Arial"/>
          <w:bCs/>
          <w:color w:val="000000"/>
          <w:sz w:val="24"/>
          <w:szCs w:val="24"/>
        </w:rPr>
        <w:t>Dexamethason</w:t>
      </w:r>
      <w:r w:rsidRPr="003A1C78">
        <w:rPr>
          <w:rFonts w:ascii="Arial" w:hAnsi="Arial" w:cs="Arial"/>
          <w:bCs/>
          <w:sz w:val="24"/>
          <w:szCs w:val="24"/>
        </w:rPr>
        <w:t xml:space="preserve"> kommt zum Einsatz </w:t>
      </w:r>
      <w:r w:rsidRPr="00BA2996">
        <w:rPr>
          <w:rFonts w:ascii="Arial" w:hAnsi="Arial" w:cs="Arial"/>
          <w:bCs/>
          <w:color w:val="000000"/>
          <w:sz w:val="24"/>
          <w:szCs w:val="24"/>
        </w:rPr>
        <w:t>wenn Symptome und</w:t>
      </w:r>
      <w:r>
        <w:rPr>
          <w:rFonts w:ascii="Arial" w:hAnsi="Arial" w:cs="Arial"/>
          <w:bCs/>
          <w:color w:val="000000"/>
          <w:sz w:val="24"/>
          <w:szCs w:val="24"/>
        </w:rPr>
        <w:t>/</w:t>
      </w:r>
      <w:r w:rsidRPr="00BA2996">
        <w:rPr>
          <w:rFonts w:ascii="Arial" w:hAnsi="Arial" w:cs="Arial"/>
          <w:bCs/>
          <w:color w:val="000000"/>
          <w:sz w:val="24"/>
          <w:szCs w:val="24"/>
        </w:rPr>
        <w:t>oder Verdrängungseffekt</w:t>
      </w:r>
      <w:r w:rsidRPr="003A1C78">
        <w:rPr>
          <w:rFonts w:ascii="Arial" w:hAnsi="Arial" w:cs="Arial"/>
          <w:bCs/>
          <w:sz w:val="24"/>
          <w:szCs w:val="24"/>
        </w:rPr>
        <w:t>e bestehen.</w:t>
      </w:r>
      <w:r>
        <w:rPr>
          <w:rFonts w:ascii="Arial" w:hAnsi="Arial" w:cs="Arial"/>
          <w:bCs/>
          <w:sz w:val="24"/>
          <w:szCs w:val="24"/>
        </w:rPr>
        <w:t xml:space="preserve"> </w:t>
      </w:r>
      <w:r w:rsidRPr="003675E3">
        <w:rPr>
          <w:rFonts w:ascii="Arial" w:eastAsia="Times New Roman" w:hAnsi="Arial" w:cs="Arial"/>
          <w:i/>
          <w:color w:val="000000"/>
          <w:sz w:val="24"/>
          <w:szCs w:val="24"/>
          <w:lang w:val="de-AT" w:eastAsia="de-AT"/>
        </w:rPr>
        <w:t>Bei l</w:t>
      </w:r>
      <w:r w:rsidRPr="003675E3">
        <w:rPr>
          <w:rFonts w:ascii="Arial" w:hAnsi="Arial" w:cs="Arial"/>
          <w:bCs/>
          <w:i/>
          <w:sz w:val="24"/>
          <w:szCs w:val="24"/>
        </w:rPr>
        <w:t>eptomeningeosis carcinomatosa</w:t>
      </w:r>
      <w:r w:rsidRPr="003A1C78">
        <w:rPr>
          <w:rFonts w:ascii="Arial" w:hAnsi="Arial" w:cs="Arial"/>
          <w:bCs/>
          <w:sz w:val="24"/>
          <w:szCs w:val="24"/>
        </w:rPr>
        <w:t xml:space="preserve"> </w:t>
      </w:r>
      <w:r>
        <w:rPr>
          <w:rFonts w:ascii="Arial" w:hAnsi="Arial" w:cs="Arial"/>
          <w:bCs/>
          <w:sz w:val="24"/>
          <w:szCs w:val="24"/>
        </w:rPr>
        <w:t>kann die S</w:t>
      </w:r>
      <w:r w:rsidRPr="003A1C78">
        <w:rPr>
          <w:rFonts w:ascii="Arial" w:hAnsi="Arial" w:cs="Arial"/>
          <w:bCs/>
          <w:sz w:val="24"/>
          <w:szCs w:val="24"/>
        </w:rPr>
        <w:t xml:space="preserve">ystemtherapie </w:t>
      </w:r>
      <w:r>
        <w:rPr>
          <w:rFonts w:ascii="Arial" w:hAnsi="Arial" w:cs="Arial"/>
          <w:bCs/>
          <w:sz w:val="24"/>
          <w:szCs w:val="24"/>
        </w:rPr>
        <w:t>durch i</w:t>
      </w:r>
      <w:r w:rsidRPr="003A1C78">
        <w:rPr>
          <w:rFonts w:ascii="Arial" w:hAnsi="Arial" w:cs="Arial"/>
          <w:bCs/>
          <w:sz w:val="24"/>
          <w:szCs w:val="24"/>
        </w:rPr>
        <w:t>ntrathekale oder intraventrikuläre Therapie</w:t>
      </w:r>
      <w:r>
        <w:rPr>
          <w:rFonts w:ascii="Arial" w:hAnsi="Arial" w:cs="Arial"/>
          <w:bCs/>
          <w:sz w:val="24"/>
          <w:szCs w:val="24"/>
        </w:rPr>
        <w:t xml:space="preserve"> mit </w:t>
      </w:r>
      <w:r w:rsidRPr="003A1C78">
        <w:rPr>
          <w:rFonts w:ascii="Arial" w:hAnsi="Arial" w:cs="Arial"/>
          <w:bCs/>
          <w:sz w:val="24"/>
          <w:szCs w:val="24"/>
        </w:rPr>
        <w:t xml:space="preserve">MTX </w:t>
      </w:r>
      <w:r>
        <w:rPr>
          <w:rFonts w:ascii="Arial" w:hAnsi="Arial" w:cs="Arial"/>
          <w:bCs/>
          <w:sz w:val="24"/>
          <w:szCs w:val="24"/>
        </w:rPr>
        <w:t>ergänzt werden.</w:t>
      </w:r>
    </w:p>
    <w:p w14:paraId="6C77C805" w14:textId="77777777" w:rsidR="00533989" w:rsidRDefault="00533989" w:rsidP="00BD6A3B">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eastAsia="Times New Roman"/>
          <w:color w:val="000000"/>
          <w:u w:val="single"/>
          <w:lang w:val="de-AT" w:eastAsia="de-AT"/>
        </w:rPr>
      </w:pPr>
    </w:p>
    <w:p w14:paraId="5BF2F60B" w14:textId="12D5F2F8" w:rsidR="00137A29" w:rsidRPr="001410BF" w:rsidRDefault="00137A29" w:rsidP="00BD6A3B">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eastAsia="Times New Roman"/>
          <w:i/>
          <w:color w:val="000000"/>
          <w:u w:val="single"/>
          <w:lang w:val="de-AT" w:eastAsia="de-AT"/>
        </w:rPr>
      </w:pPr>
      <w:r w:rsidRPr="001410BF">
        <w:rPr>
          <w:rFonts w:eastAsia="Times New Roman"/>
          <w:i/>
          <w:color w:val="000000"/>
          <w:u w:val="single"/>
          <w:lang w:val="de-AT" w:eastAsia="de-AT"/>
        </w:rPr>
        <w:t>Malignes Melanom</w:t>
      </w:r>
    </w:p>
    <w:p w14:paraId="53D8C90A" w14:textId="7455D999" w:rsidR="00FE3114" w:rsidRPr="00D675E0" w:rsidRDefault="000C66F1" w:rsidP="00D675E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Pr>
          <w:rFonts w:eastAsia="Times New Roman"/>
          <w:color w:val="000000"/>
          <w:lang w:val="de-AT" w:eastAsia="de-AT"/>
        </w:rPr>
        <w:t>Es konnte</w:t>
      </w:r>
      <w:r w:rsidR="00FE3114" w:rsidRPr="00D675E0">
        <w:rPr>
          <w:rFonts w:eastAsia="Times New Roman"/>
          <w:color w:val="000000"/>
          <w:lang w:val="de-AT" w:eastAsia="de-AT"/>
        </w:rPr>
        <w:t xml:space="preserve"> zwischenzeitlich </w:t>
      </w:r>
      <w:r>
        <w:rPr>
          <w:rFonts w:eastAsia="Times New Roman"/>
          <w:color w:val="000000"/>
          <w:lang w:val="de-AT" w:eastAsia="de-AT"/>
        </w:rPr>
        <w:t xml:space="preserve">in </w:t>
      </w:r>
      <w:r w:rsidR="00FE3114" w:rsidRPr="00D675E0">
        <w:rPr>
          <w:rFonts w:eastAsia="Times New Roman"/>
          <w:color w:val="000000"/>
          <w:lang w:val="de-AT" w:eastAsia="de-AT"/>
        </w:rPr>
        <w:t>einige</w:t>
      </w:r>
      <w:r>
        <w:rPr>
          <w:rFonts w:eastAsia="Times New Roman"/>
          <w:color w:val="000000"/>
          <w:lang w:val="de-AT" w:eastAsia="de-AT"/>
        </w:rPr>
        <w:t>n</w:t>
      </w:r>
      <w:r w:rsidR="00FE3114" w:rsidRPr="00D675E0">
        <w:rPr>
          <w:rFonts w:eastAsia="Times New Roman"/>
          <w:color w:val="000000"/>
          <w:lang w:val="de-AT" w:eastAsia="de-AT"/>
        </w:rPr>
        <w:t xml:space="preserve"> Studien beleg</w:t>
      </w:r>
      <w:r>
        <w:rPr>
          <w:rFonts w:eastAsia="Times New Roman"/>
          <w:color w:val="000000"/>
          <w:lang w:val="de-AT" w:eastAsia="de-AT"/>
        </w:rPr>
        <w:t>t werden</w:t>
      </w:r>
      <w:r w:rsidR="00FE3114" w:rsidRPr="00D675E0">
        <w:rPr>
          <w:rFonts w:eastAsia="Times New Roman"/>
          <w:color w:val="000000"/>
          <w:lang w:val="de-AT" w:eastAsia="de-AT"/>
        </w:rPr>
        <w:t>, dass auch Patienten mit zerebralen Metastasen von der alleinigen Therapie mit zielgerichteten BRAF/MEK-Inhibitoren bzw. Checkpoint-Inhibitoren profitieren können. Ergebnisse der Phase II COMBI-MB-Studie weisen darauf hin, dass Patienten mit BRAFV600-mutierten Hirnmetastasen sowohl bei asymptomatischen als auch bei aktiven, symptomatischen Hirnmetastasen mit und ohne lokale Vortherapie von der Behandlung mit Dabrafenib und Trametinib profitieren</w:t>
      </w:r>
      <w:r w:rsidR="00DF4BB4">
        <w:rPr>
          <w:rFonts w:eastAsia="Times New Roman"/>
          <w:color w:val="000000"/>
          <w:lang w:val="de-AT" w:eastAsia="de-AT"/>
        </w:rPr>
        <w:t xml:space="preserve">; </w:t>
      </w:r>
      <w:r w:rsidR="00FE3114" w:rsidRPr="00D675E0">
        <w:rPr>
          <w:rFonts w:eastAsia="Times New Roman"/>
          <w:color w:val="000000"/>
          <w:lang w:val="de-AT" w:eastAsia="de-AT"/>
        </w:rPr>
        <w:t xml:space="preserve">das mediane PFS betrug </w:t>
      </w:r>
      <w:r w:rsidR="00321ED1">
        <w:rPr>
          <w:rFonts w:eastAsia="Times New Roman"/>
          <w:color w:val="000000"/>
          <w:lang w:val="de-AT" w:eastAsia="de-AT"/>
        </w:rPr>
        <w:t xml:space="preserve">dabei </w:t>
      </w:r>
      <w:r w:rsidR="00FE3114" w:rsidRPr="00D675E0">
        <w:rPr>
          <w:rFonts w:eastAsia="Times New Roman"/>
          <w:color w:val="000000"/>
          <w:lang w:val="de-AT" w:eastAsia="de-AT"/>
        </w:rPr>
        <w:t>4</w:t>
      </w:r>
      <w:r w:rsidR="00DF4BB4">
        <w:rPr>
          <w:rFonts w:eastAsia="Times New Roman"/>
          <w:color w:val="000000"/>
          <w:lang w:val="de-AT" w:eastAsia="de-AT"/>
        </w:rPr>
        <w:t>-</w:t>
      </w:r>
      <w:r w:rsidR="00FE3114" w:rsidRPr="00D675E0">
        <w:rPr>
          <w:rFonts w:eastAsia="Times New Roman"/>
          <w:color w:val="000000"/>
          <w:lang w:val="de-AT" w:eastAsia="de-AT"/>
        </w:rPr>
        <w:t>7 Monate.</w:t>
      </w:r>
      <w:r w:rsidR="004B408B">
        <w:rPr>
          <w:rFonts w:eastAsia="Times New Roman"/>
          <w:color w:val="000000"/>
          <w:lang w:val="de-AT" w:eastAsia="de-AT"/>
        </w:rPr>
        <w:fldChar w:fldCharType="begin" w:fldLock="1"/>
      </w:r>
      <w:r w:rsidR="0042445A">
        <w:rPr>
          <w:rFonts w:eastAsia="Times New Roman"/>
          <w:color w:val="000000"/>
          <w:lang w:val="de-AT" w:eastAsia="de-AT"/>
        </w:rPr>
        <w:instrText>ADDIN CSL_CITATION {"citationItems":[{"id":"ITEM-1","itemData":{"DOI":"10.1016/S1470-2045(17)30429-1","ISSN":"14745488","PMID":"28592387","abstract":"Background Dabrafenib plus trametinib improves clinical outcomes in BRAFV600-mutant metastatic melanoma without brain metastases; however, the activity of dabrafenib plus trametinib has not been studied in active melanoma brain metastases. Here, we report results from the phase 2 COMBI-MB trial. Our aim was to build on the current body of evidence of targeted therapy in melanoma brain metastases through an evaluation of dabrafenib plus trametinib in patients with BRAFV600-mutant melanoma brain metastases. Methods This ongoing, multicentre, multicohort, open-label, phase 2 study evaluated oral dabrafenib (150 mg twice per day) plus oral trametinib (2 mg once per day) in four patient cohorts with melanoma brain metastases enrolled from 32 hospitals and institutions in Europe, North America, and Australia: (A) BRAFV600E-positive, asymptomatic melanoma brain metastases, with no previous local brain therapy, and an Eastern Cooperative Oncology Group (ECOG) performance status of 0 or 1; (B) BRAFV600E-positive, asymptomatic melanoma brain metastases, with previous local brain therapy, and an ECOG performance status of 0 or 1; (C) BRAFV600D/K/R-positive, asymptomatic melanoma brain metastases, with or without previous local brain therapy, and an ECOG performance status of 0 or 1; and (D) BRAFV600D/E/K/R-positive, symptomatic melanoma brain metastases, with or without previous local brain therapy, and an ECOG performance status of 0, 1, or 2. The primary endpoint was investigator-assessed intracranial response in cohort A in the all-treated-patients population. Secondary endpoints included intracranial response in cohorts B, C, and D. This study is registered with ClinicalTrials.gov, number NCT02039947. Findings Between Feb 28, 2014, and Aug 5, 2016, 125 patients were enrolled in the study: 76 patients in cohort A; 16 patients in cohort B; 16 patients in cohort C; and 17 patients in cohort D. At the data cutoff (Nov 28, 2016) after a median follow-up of 8·5 months (IQR 5·5–14·0), 44 (58%; 95% CI 46–69) of 76 patients in cohort A achieved an intracranial response. Intracranial response by investigator assessment was also achieved in nine (56%; 95% CI 30–80) of 16 patients in cohort B, seven (44%; 20–70) of 16 patients in cohort C, and ten (59%; 33–82) of 17 patients in cohort D. The most common serious adverse events related to study treatment were pyrexia for dabrafenib (eight [6%] of 125 patients) and decreased ejection fraction (five [4%]) for trametinib. The …","author":[{"dropping-particle":"","family":"Davies","given":"Michael A.","non-dropping-particle":"","parse-names":false,"suffix":""},{"dropping-particle":"","family":"Saiag","given":"Philippe","non-dropping-particle":"","parse-names":false,"suffix":""},{"dropping-particle":"","family":"Robert","given":"Caroline","non-dropping-particle":"","parse-names":false,"suffix":""},{"dropping-particle":"","family":"Grob","given":"Jean Jacques","non-dropping-particle":"","parse-names":false,"suffix":""},{"dropping-particle":"","family":"Flaherty","given":"Keith T.","non-dropping-particle":"","parse-names":false,"suffix":""},{"dropping-particle":"","family":"Arance","given":"Ana","non-dropping-particle":"","parse-names":false,"suffix":""},{"dropping-particle":"","family":"Chiarion-Sileni","given":"Vanna","non-dropping-particle":"","parse-names":false,"suffix":""},{"dropping-particle":"","family":"Thomas","given":"Luc","non-dropping-particle":"","parse-names":false,"suffix":""},{"dropping-particle":"","family":"Lesimple","given":"Thierry","non-dropping-particle":"","parse-names":false,"suffix":""},{"dropping-particle":"","family":"Mortier","given":"Laurent","non-dropping-particle":"","parse-names":false,"suffix":""},{"dropping-particle":"","family":"Moschos","given":"Stergios J.","non-dropping-particle":"","parse-names":false,"suffix":""},{"dropping-particle":"","family":"Hogg","given":"David","non-dropping-particle":"","parse-names":false,"suffix":""},{"dropping-particle":"","family":"Márquez-Rodas","given":"Iván","non-dropping-particle":"","parse-names":false,"suffix":""},{"dropping-particle":"","family":"Vecchio","given":"Michele","non-dropping-particle":"Del","parse-names":false,"suffix":""},{"dropping-particle":"","family":"Lebbé","given":"Céleste","non-dropping-particle":"","parse-names":false,"suffix":""},{"dropping-particle":"","family":"Meyer","given":"Nicolas","non-dropping-particle":"","parse-names":false,"suffix":""},{"dropping-particle":"","family":"Zhang","given":"Ying","non-dropping-particle":"","parse-names":false,"suffix":""},{"dropping-particle":"","family":"Huang","given":"Yingjie","non-dropping-particle":"","parse-names":false,"suffix":""},{"dropping-particle":"","family":"Mookerjee","given":"Bijoyesh","non-dropping-particle":"","parse-names":false,"suffix":""},{"dropping-particle":"V.","family":"Long","given":"Georgina","non-dropping-particle":"","parse-names":false,"suffix":""}],"container-title":"The Lancet Oncology","id":"ITEM-1","issue":"7","issued":{"date-parts":[["2017","7","1"]]},"page":"863-873","publisher":"Lancet Publishing Group","title":"Dabrafenib plus trametinib in patients with BRAFV600-mutant melanoma brain metastases (COMBI-MB): a multicentre, multicohort, open-label, phase 2 trial","type":"article-journal","volume":"18"},"uris":["http://www.mendeley.com/documents/?uuid=2c6172ab-08b6-38d1-b825-ba9a122f3cb4"]}],"mendeley":{"formattedCitation":"&lt;sup&gt;37&lt;/sup&gt;","plainTextFormattedCitation":"37","previouslyFormattedCitation":"&lt;sup&gt;36&lt;/sup&gt;"},"properties":{"noteIndex":0},"schema":"https://github.com/citation-style-language/schema/raw/master/csl-citation.json"}</w:instrText>
      </w:r>
      <w:r w:rsidR="004B408B">
        <w:rPr>
          <w:rFonts w:eastAsia="Times New Roman"/>
          <w:color w:val="000000"/>
          <w:lang w:val="de-AT" w:eastAsia="de-AT"/>
        </w:rPr>
        <w:fldChar w:fldCharType="separate"/>
      </w:r>
      <w:r w:rsidR="0042445A" w:rsidRPr="0042445A">
        <w:rPr>
          <w:rFonts w:eastAsia="Times New Roman"/>
          <w:noProof/>
          <w:color w:val="000000"/>
          <w:vertAlign w:val="superscript"/>
          <w:lang w:val="de-AT" w:eastAsia="de-AT"/>
        </w:rPr>
        <w:t>37</w:t>
      </w:r>
      <w:r w:rsidR="004B408B">
        <w:rPr>
          <w:rFonts w:eastAsia="Times New Roman"/>
          <w:color w:val="000000"/>
          <w:lang w:val="de-AT" w:eastAsia="de-AT"/>
        </w:rPr>
        <w:fldChar w:fldCharType="end"/>
      </w:r>
      <w:r w:rsidR="00FE3114" w:rsidRPr="00D675E0">
        <w:rPr>
          <w:rFonts w:eastAsia="Times New Roman"/>
          <w:color w:val="000000"/>
          <w:lang w:val="de-AT" w:eastAsia="de-AT"/>
        </w:rPr>
        <w:t xml:space="preserve"> Noch mehr beeindruckte die prospektive Phase II Studie, in welcher der PD1-Antikörper Nivolumab alleine oder in Kombination mit dem anti-CTLA4-Antikörper Ipilimumab appliziert wurde. Es zeigte sich in der Kombinationsbehandlung ein beeindruckendes und deutlich besseres Ansprechen mit 46% gegenüber der Monotherapie mit Nivolumab mit 20%, so dass die Kombinationstherapie inzwischen bei Vorliegen von Hirnmetastasen und gutem Allgemeinzustand routinemäßig eingesetzt wird.</w:t>
      </w:r>
      <w:r w:rsidR="00321ED1">
        <w:rPr>
          <w:rFonts w:eastAsia="Times New Roman"/>
          <w:color w:val="000000"/>
          <w:lang w:val="de-AT" w:eastAsia="de-AT"/>
        </w:rPr>
        <w:t xml:space="preserve"> </w:t>
      </w:r>
      <w:r w:rsidR="00FE3114" w:rsidRPr="00D675E0">
        <w:rPr>
          <w:rFonts w:eastAsia="Times New Roman"/>
          <w:color w:val="000000"/>
          <w:lang w:val="de-AT" w:eastAsia="de-AT"/>
        </w:rPr>
        <w:t xml:space="preserve">Obwohl in diesen Untersuchungen Patienten eingeschlossen wurden, </w:t>
      </w:r>
      <w:r w:rsidR="00AC4DAC" w:rsidRPr="00D675E0">
        <w:rPr>
          <w:rFonts w:eastAsia="Times New Roman"/>
          <w:color w:val="000000"/>
          <w:lang w:val="de-AT" w:eastAsia="de-AT"/>
        </w:rPr>
        <w:t>d</w:t>
      </w:r>
      <w:r w:rsidR="00AC4DAC">
        <w:rPr>
          <w:rFonts w:eastAsia="Times New Roman"/>
          <w:color w:val="000000"/>
          <w:lang w:val="de-AT" w:eastAsia="de-AT"/>
        </w:rPr>
        <w:t>eren</w:t>
      </w:r>
      <w:r w:rsidR="00AC4DAC" w:rsidRPr="00D675E0">
        <w:rPr>
          <w:rFonts w:eastAsia="Times New Roman"/>
          <w:color w:val="000000"/>
          <w:lang w:val="de-AT" w:eastAsia="de-AT"/>
        </w:rPr>
        <w:t xml:space="preserve"> </w:t>
      </w:r>
      <w:r w:rsidR="00AC4DAC">
        <w:rPr>
          <w:rFonts w:eastAsia="Times New Roman"/>
          <w:color w:val="000000"/>
          <w:lang w:val="de-AT" w:eastAsia="de-AT"/>
        </w:rPr>
        <w:t xml:space="preserve">ZNS Metastasen </w:t>
      </w:r>
      <w:r w:rsidR="00FE3114" w:rsidRPr="00D675E0">
        <w:rPr>
          <w:rFonts w:eastAsia="Times New Roman"/>
          <w:color w:val="000000"/>
          <w:lang w:val="de-AT" w:eastAsia="de-AT"/>
        </w:rPr>
        <w:t>vor Beginn der Systemtherapie strahlentherapeutisch behandelt wurden, ist derzeit unklar, wie die Verträglichkeit einer kombinierten Behandlung mit Bestrahlung und Systemtherapie eingeschätzt werden kann. Allerdings weisen retrospektive Studien darauf hin, dass die Kombination von Bestrahlung und Nivolumab-Therapie nicht zu vermehrten Nebenwirkungen führt.</w:t>
      </w:r>
      <w:r w:rsidR="004B408B">
        <w:rPr>
          <w:rFonts w:eastAsia="Times New Roman"/>
          <w:color w:val="000000"/>
          <w:lang w:val="de-AT" w:eastAsia="de-AT"/>
        </w:rPr>
        <w:fldChar w:fldCharType="begin" w:fldLock="1"/>
      </w:r>
      <w:r w:rsidR="0042445A">
        <w:rPr>
          <w:rFonts w:eastAsia="Times New Roman"/>
          <w:color w:val="000000"/>
          <w:lang w:val="de-AT" w:eastAsia="de-AT"/>
        </w:rPr>
        <w:instrText>ADDIN CSL_CITATION {"citationItems":[{"id":"ITEM-1","itemData":{"DOI":"10.1093/annonc/mdw417","ISSN":"15698041","PMID":"27637745","abstract":"BACKGROUND: The effect of immunologic and targeted agents on intracranial response rates in patients with melanoma brain metastases (MBMs) is not yet clearly understood. This report analyzes outcomes of intact MBMs treated with single-session stereotactic radiosurgery (SRS) and anti-PD-1 therapy, anti-CTLA-4 therapy, BRAF/MEK inhibitors(i), BRAFi, or conventional chemotherapy.\nPATIENTS AND METHODS: Patients were included if MBMs were treated with single-session SRS within 3 months of receiving systemic therapy. The primary end point of this study was distant MBM control. Secondary end points were local MBM control defined as a &gt;20% volume increase on follow-up MRI, systemic progression-free survival, overall survival (OS) from both SRS and cranial metastases diagnosis, and neurotoxicity. Images were reviewed alongside two neuro-radiologists at our institution.\nRESULTS: Ninety-six patients were treated to 314 MBMs over 119 SRS treatment sessions between January 2007 and August 2015. No significant differences were noted in age (P = 0.27), gender (P = 0.85), treated gross tumor volume (P = 0.26), or the diagnosis-specific graded prognostic assessment (P = 0.51) between the treatment cohorts. Twelve-month Kaplan-Meier (KM) distant MBM control rates were 38%, 21%, 20%, 8%, and 5% (P = 0.008) for SRS with anti-PD-1 therapies, anti-CTLA-4 therapy, BRAF/MEKi, BRAFi, and conventional chemotherapy, respectively. No significant differences were noted in the KM local MBM control rates among treatment groups (P = 0.25). Treatment with anti-PD-1 therapy, anti-CTLA-4 therapy, or BRAF/MEKi significantly improved OS on both univariate and multivariate analyses when compared with conventional chemotherapy.\nCONCLUSION: In our institutional analysis of patients treated with SRS and various systemic immunologic and targeted melanoma agents, significant differences in distant MBM control and OS are noted. Prospective evaluation of the potential synergistic effect between these agents and SRS is warranted.","author":[{"dropping-particle":"","family":"Ahmed","given":"K. A.","non-dropping-particle":"","parse-names":false,"suffix":""},{"dropping-particle":"","family":"Abuodeh","given":"Y. A.","non-dropping-particle":"","parse-names":false,"suffix":""},{"dropping-particle":"","family":"Echevarria","given":"M. I.","non-dropping-particle":"","parse-names":false,"suffix":""},{"dropping-particle":"","family":"Arrington","given":"J. A.","non-dropping-particle":"","parse-names":false,"suffix":""},{"dropping-particle":"","family":"Stallworth","given":"D. G.","non-dropping-particle":"","parse-names":false,"suffix":""},{"dropping-particle":"","family":"Hogue","given":"C.","non-dropping-particle":"","parse-names":false,"suffix":""},{"dropping-particle":"","family":"Naghavi","given":"A. O.","non-dropping-particle":"","parse-names":false,"suffix":""},{"dropping-particle":"","family":"Kim","given":"S.","non-dropping-particle":"","parse-names":false,"suffix":""},{"dropping-particle":"","family":"Kim","given":"Y.","non-dropping-particle":"","parse-names":false,"suffix":""},{"dropping-particle":"","family":"Patel","given":"B. G.","non-dropping-particle":"","parse-names":false,"suffix":""},{"dropping-particle":"","family":"Sarangkasiri","given":"S.","non-dropping-particle":"","parse-names":false,"suffix":""},{"dropping-particle":"","family":"Johnstone","given":"P. A.S.","non-dropping-particle":"","parse-names":false,"suffix":""},{"dropping-particle":"","family":"Sahebjam","given":"S.","non-dropping-particle":"","parse-names":false,"suffix":""},{"dropping-particle":"","family":"Khushalani","given":"N. I.","non-dropping-particle":"","parse-names":false,"suffix":""},{"dropping-particle":"","family":"Forsyth","given":"P. A.","non-dropping-particle":"","parse-names":false,"suffix":""},{"dropping-particle":"","family":"Harrison","given":"L. B.","non-dropping-particle":"","parse-names":false,"suffix":""},{"dropping-particle":"","family":"Yu","given":"M.","non-dropping-particle":"","parse-names":false,"suffix":""},{"dropping-particle":"","family":"Etame","given":"A. B.","non-dropping-particle":"","parse-names":false,"suffix":""},{"dropping-particle":"","family":"Caudell","given":"J. J.","non-dropping-particle":"","parse-names":false,"suffix":""}],"container-title":"Annals of oncology : official journal of the European Society for Medical Oncology","id":"ITEM-1","issue":"12","issued":{"date-parts":[["2016","12","1"]]},"page":"2288-2294","title":"Clinical outcomes of melanoma brain metastases treated with stereotactic radiosurgery and anti-PD-1 therapy, anti-CTLA-4 therapy, BRAF/MEK inhibitors, BRAF inhibitor, or conventional chemotherapy","type":"article-journal","volume":"27"},"uris":["http://www.mendeley.com/documents/?uuid=4ba88456-9ebb-31ce-a056-b7a3c29b3c81"]}],"mendeley":{"formattedCitation":"&lt;sup&gt;38&lt;/sup&gt;","plainTextFormattedCitation":"38","previouslyFormattedCitation":"&lt;sup&gt;37&lt;/sup&gt;"},"properties":{"noteIndex":0},"schema":"https://github.com/citation-style-language/schema/raw/master/csl-citation.json"}</w:instrText>
      </w:r>
      <w:r w:rsidR="004B408B">
        <w:rPr>
          <w:rFonts w:eastAsia="Times New Roman"/>
          <w:color w:val="000000"/>
          <w:lang w:val="de-AT" w:eastAsia="de-AT"/>
        </w:rPr>
        <w:fldChar w:fldCharType="separate"/>
      </w:r>
      <w:r w:rsidR="0042445A" w:rsidRPr="0042445A">
        <w:rPr>
          <w:rFonts w:eastAsia="Times New Roman"/>
          <w:noProof/>
          <w:color w:val="000000"/>
          <w:vertAlign w:val="superscript"/>
          <w:lang w:val="de-AT" w:eastAsia="de-AT"/>
        </w:rPr>
        <w:t>38</w:t>
      </w:r>
      <w:r w:rsidR="004B408B">
        <w:rPr>
          <w:rFonts w:eastAsia="Times New Roman"/>
          <w:color w:val="000000"/>
          <w:lang w:val="de-AT" w:eastAsia="de-AT"/>
        </w:rPr>
        <w:fldChar w:fldCharType="end"/>
      </w:r>
    </w:p>
    <w:p w14:paraId="3EA55987" w14:textId="77777777" w:rsidR="00FE3114" w:rsidRPr="00D675E0" w:rsidRDefault="00FE3114" w:rsidP="00D675E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sidRPr="00D675E0">
        <w:rPr>
          <w:rFonts w:eastAsia="Times New Roman"/>
          <w:color w:val="000000"/>
          <w:lang w:val="de-AT" w:eastAsia="de-AT"/>
        </w:rPr>
        <w:t>Die Festlegung, ob zu welchem Zeitpunkt bzw. in welcher Reihenfolge eine operative Behandlung, eine Bestrahlung und/oder eine Systemtherapie durchgeführt werden soll, erfolgt derzeit individuell. Neue Erkenntnisse werden durch engen wissenschaftlichen, interdisziplinären Austausch der beteiligten Experten sowie durch die Etablierung innovativer prospektiver Studien gewonnen.</w:t>
      </w:r>
    </w:p>
    <w:p w14:paraId="31BF155E" w14:textId="1144003D" w:rsidR="00205305" w:rsidRPr="000F2811" w:rsidRDefault="00205305" w:rsidP="002E5E5B">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rPr>
          <w:rFonts w:eastAsia="Times New Roman"/>
          <w:color w:val="000000"/>
          <w:lang w:val="de-AT" w:eastAsia="de-AT"/>
        </w:rPr>
      </w:pPr>
    </w:p>
    <w:p w14:paraId="0AA3877A" w14:textId="77777777" w:rsidR="00205305" w:rsidRPr="000F2811" w:rsidRDefault="00205305"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p>
    <w:p w14:paraId="38749146" w14:textId="3C3F7A40" w:rsidR="004123AC" w:rsidRPr="0050172A" w:rsidRDefault="00B23D82" w:rsidP="0050172A">
      <w:pPr>
        <w:spacing w:after="160" w:line="259" w:lineRule="auto"/>
        <w:rPr>
          <w:rFonts w:ascii="Arial" w:eastAsia="Times New Roman" w:hAnsi="Arial" w:cs="Arial"/>
          <w:b/>
          <w:color w:val="000000"/>
          <w:sz w:val="24"/>
          <w:szCs w:val="24"/>
          <w:lang w:val="de-AT" w:eastAsia="de-AT"/>
        </w:rPr>
      </w:pPr>
      <w:r w:rsidRPr="000F2811">
        <w:rPr>
          <w:rFonts w:ascii="Arial" w:eastAsia="Times New Roman" w:hAnsi="Arial" w:cs="Arial"/>
          <w:b/>
          <w:color w:val="000000"/>
          <w:sz w:val="24"/>
          <w:szCs w:val="24"/>
          <w:lang w:val="de-AT" w:eastAsia="de-AT"/>
        </w:rPr>
        <w:br w:type="page"/>
      </w:r>
      <w:r w:rsidR="004123AC" w:rsidRPr="0050172A">
        <w:rPr>
          <w:rFonts w:ascii="Arial" w:eastAsia="Times New Roman" w:hAnsi="Arial" w:cs="Arial"/>
          <w:b/>
          <w:color w:val="000000"/>
          <w:sz w:val="24"/>
          <w:szCs w:val="24"/>
          <w:lang w:val="de-AT" w:eastAsia="de-AT"/>
        </w:rPr>
        <w:t xml:space="preserve">Palliativmedizinische Ansätze: </w:t>
      </w:r>
    </w:p>
    <w:p w14:paraId="3E1074E1" w14:textId="5BA632D5" w:rsidR="00B23D82" w:rsidRPr="000F2811" w:rsidRDefault="004123AC" w:rsidP="002D6BC8">
      <w:pPr>
        <w:autoSpaceDE w:val="0"/>
        <w:autoSpaceDN w:val="0"/>
        <w:adjustRightInd w:val="0"/>
        <w:spacing w:line="360" w:lineRule="auto"/>
        <w:jc w:val="both"/>
        <w:rPr>
          <w:rFonts w:ascii="Arial" w:hAnsi="Arial" w:cs="Arial"/>
          <w:color w:val="000000"/>
          <w:sz w:val="24"/>
          <w:szCs w:val="24"/>
        </w:rPr>
      </w:pPr>
      <w:r w:rsidRPr="000F2811">
        <w:rPr>
          <w:rFonts w:ascii="Arial" w:eastAsia="Times New Roman" w:hAnsi="Arial" w:cs="Arial"/>
          <w:color w:val="000000"/>
          <w:sz w:val="24"/>
          <w:szCs w:val="24"/>
          <w:lang w:val="de-AT" w:eastAsia="de-AT"/>
        </w:rPr>
        <w:t>Für Patienten mit systemischen Tumoren konnte in randomisierten Studien gezeigt werden, dass die frühzeitig im Krankheitsverlauf ergänzende palliativmedizinische Behandlung sich positiv auf Patienten und deren Angehörigen auswirkt. Dies betrifft beispielsweise die Lebensqualität, Depressivität, Angehörigenbelastung, die Verminderung von „Übertherapie“ am Lebensende und z.T. auch die Überlebenszeit</w:t>
      </w:r>
      <w:r w:rsidR="000C74FE">
        <w:rPr>
          <w:rFonts w:ascii="Arial" w:eastAsia="Times New Roman" w:hAnsi="Arial" w:cs="Arial"/>
          <w:color w:val="000000"/>
          <w:sz w:val="24"/>
          <w:szCs w:val="24"/>
          <w:lang w:val="de-AT" w:eastAsia="de-AT"/>
        </w:rPr>
        <w:t>.</w:t>
      </w:r>
      <w:r w:rsidR="000C74FE">
        <w:rPr>
          <w:rFonts w:ascii="Arial" w:eastAsia="Times New Roman" w:hAnsi="Arial" w:cs="Arial"/>
          <w:color w:val="000000"/>
          <w:sz w:val="24"/>
          <w:szCs w:val="24"/>
          <w:lang w:val="de-AT" w:eastAsia="de-AT"/>
        </w:rPr>
        <w:fldChar w:fldCharType="begin" w:fldLock="1"/>
      </w:r>
      <w:r w:rsidR="0042445A">
        <w:rPr>
          <w:rFonts w:ascii="Arial" w:eastAsia="Times New Roman" w:hAnsi="Arial" w:cs="Arial"/>
          <w:color w:val="000000"/>
          <w:sz w:val="24"/>
          <w:szCs w:val="24"/>
          <w:lang w:val="de-AT" w:eastAsia="de-AT"/>
        </w:rPr>
        <w:instrText>ADDIN CSL_CITATION {"citationItems":[{"id":"ITEM-1","itemData":{"DOI":"10.1056/NEJMoa1000678","ISSN":"15334406","PMID":"20818875","abstract":"Background: Patients with metastatic non-small-cell lung cancer have a substantial symptom burden and may receive aggressive care at the end of life. We examined the effect of introducing palliative care early after diagnosis on patient-reported outcomes and end-of-life care among ambulatory patients with newly diagnosed disease. Methods: We randomly assigned patients with newly diagnosed metastatic non-small-cell lung cancer to receive either early palliative care integrated with standard oncologic care or standard oncologic care alone. Quality of life and mood were assessed at baseline and at 12 weeks with the use of the Functional Assessment of Cancer Therapy-Lung (FACT-L) scale and the Hospital Anxiety and Depression Scale, respectively. The primary outcome was the change in the quality of life at 12 weeks. Data on end-of-life care were collected from electronic medical records. Results: Of the 151 patients who underwent randomization, 27 died by 12 weeks and 107 (86% of the remaining patients) completed assessments. Patients assigned to early palliative care had a better quality of life than did patients assigned to standard care (mean score on the FACT-L scale [in which scores range from 0 to 136, with higher scores indicating better quality of life], 98.0 vs. 91.5; P = 0.03). In addition, fewer patients in the palliative care group than in the standard care group had depressive symptoms (16% vs. 38%, P = 0.01). Despite the fact that fewer patients in the early palliative care group than in the standard care group received aggressive end-of-life care (33% vs. 54%, P = 0.05), median survival was longer among patients receiving early palliative care (11.6 months vs. 8.9 months, P = 0.02). Conclusions: Among patients with metastatic non-small-cell lung cancer, early palliative care led to significant improvements in both quality of life and mood. As compared with patients receiving standard care, patients receiving early palliative care had less aggressive care at the end of life but longer survival. (Funded by an American Society of Clinical Oncology Career Development Award and philanthropic gifts; ClinicalTrials.gov number, NCT01038271.) Copyright © 2010 Massachusetts Medical Society.","author":[{"dropping-particle":"","family":"Temel","given":"Jennifer S.","non-dropping-particle":"","parse-names":false,"suffix":""},{"dropping-particle":"","family":"Greer","given":"Joseph A.","non-dropping-particle":"","parse-names":false,"suffix":""},{"dropping-particle":"","family":"Muzikansky","given":"Alona","non-dropping-particle":"","parse-names":false,"suffix":""},{"dropping-particle":"","family":"Gallagher","given":"Emily R.","non-dropping-particle":"","parse-names":false,"suffix":""},{"dropping-particle":"","family":"Admane","given":"Sonal","non-dropping-particle":"","parse-names":false,"suffix":""},{"dropping-particle":"","family":"Jackson","given":"Vicki A.","non-dropping-particle":"","parse-names":false,"suffix":""},{"dropping-particle":"","family":"Dahlin","given":"Constance M.","non-dropping-particle":"","parse-names":false,"suffix":""},{"dropping-particle":"","family":"Blinderman","given":"Craig D.","non-dropping-particle":"","parse-names":false,"suffix":""},{"dropping-particle":"","family":"Jacobsen","given":"Juliet","non-dropping-particle":"","parse-names":false,"suffix":""},{"dropping-particle":"","family":"Pirl","given":"William F.","non-dropping-particle":"","parse-names":false,"suffix":""},{"dropping-particle":"","family":"Billings","given":"J. Andrew","non-dropping-particle":"","parse-names":false,"suffix":""},{"dropping-particle":"","family":"Lynch","given":"Thomas J.","non-dropping-particle":"","parse-names":false,"suffix":""}],"container-title":"New England Journal of Medicine","id":"ITEM-1","issue":"8","issued":{"date-parts":[["2010","8","19"]]},"page":"733-742","publisher":"Massachussetts Medical Society","title":"Early palliative care for patients with metastatic non-small-cell lung cancer","type":"article-journal","volume":"363"},"uris":["http://www.mendeley.com/documents/?uuid=2b1cdcde-3a72-368f-beb8-99df9e526208"]},{"id":"ITEM-2","itemData":{"DOI":"10.1089/jpm.2012.0014","ISSN":"10966218","PMID":"22559906","abstract":"Background: There is a paucity of randomized studies evaluating the value of palliative interventions on a prospective basis in newly diagnosed oncology patients. We sought to prospectively evaluate quality of life (QoL) outcomes in advanced cancer patients who received discussion-based palliative care interventions from an advanced registered nurse practitioner (ARNP) integrated into the oncology team, and compare these outcomes with a control population. Methods: Patients with metastatic cancer were randomized to standard care or an ARNP-directed intervention that included discussions of the benefits of hospice, discussions on living wills and advanced directives (Five Wishes document) along with an assessment of QoL. Relevant endpoints included change from baseline QoL and improvement in hospice knowledge. Results: From November 13, 2008, through July 28, 2009, 26 patients were accrued at the Mayo Clinic in Jacksonville, Florida. The study closed early due to published data demonstrating the benefits of early palliative care interventions in the management of metastatic cancer patients. Statistically significant improvements from baseline were noted in emotional and mental QoL assessments in the intervention group that were not seen in the control group. Patients found it useful to have the living will and Five Wishes documents offered as part of the ARNP intervention. Conclusions: An ARNP-directed intervention that explains the benefits of hospice and addresses advanced directives early in the course of metastatic cancer patients' treatment, is well received by the patients and their relatives and leads to measurable improvement in the patient's emotional and mental QoL. © Copyright 2012, Mary Ann Liebert, Inc.","author":[{"dropping-particle":"","family":"Dyar","given":"Stephen","non-dropping-particle":"","parse-names":false,"suffix":""},{"dropping-particle":"","family":"Lesperance","given":"Mary","non-dropping-particle":"","parse-names":false,"suffix":""},{"dropping-particle":"","family":"Shannon","given":"Robert","non-dropping-particle":"","parse-names":false,"suffix":""},{"dropping-particle":"","family":"Sloan","given":"Jeff","non-dropping-particle":"","parse-names":false,"suffix":""},{"dropping-particle":"","family":"Colon-Otero","given":"Gerardo","non-dropping-particle":"","parse-names":false,"suffix":""}],"container-title":"Journal of Palliative Medicine","id":"ITEM-2","issue":"8","issued":{"date-parts":[["2012","8","1"]]},"page":"890-895","title":"A nurse practitioner directed intervention improves the quality of life of patients with metastatic cancer: Results of a randomized pilot study","type":"article-journal","volume":"15"},"uris":["http://www.mendeley.com/documents/?uuid=b9b3cbbd-c0c0-3340-9df8-e6be73837fa3"]},{"id":"ITEM-3","itemData":{"DOI":"10.1016/S0140-6736(13)62416-2","ISSN":"1474547X","PMID":"24559581","abstract":"Background Patients with advanced cancer have reduced quality of life, which tends to worsen towards the end of life. We assessed the effect of early palliative care in patients with advanced cancer on several aspects of quality of life. Methods The study took place at the Princess Margaret Cancer Centre (Toronto, ON, Canada), between Dec 1, 2006, and Feb 28, 2011. 24 medical oncology clinics were cluster randomised (in a 1:1 ratio, using a computer-generated sequence, stratified by clinic size and tumour site [four lung, eight gastrointestinal, four genitourinary, six breast, two gynaecological]), to consultation and follow-up (at least monthly) by a palliative care team or to standard cancer care. Complete masking of interventions was not possible; however, patients provided written informed consent to participate in their own study group, without being informed of the existence of another group. Eligible patients had advanced cancer, European Cooperative Oncology Group performance status of 0-2, and a clinical prognosis of 6-24 months. Quality of life (Functional Assessment of Chronic Illness Therapy - Spiritual Well-Being [FACIT-Sp] scale and Quality of Life at the End of Life [QUAL-E] scale), symptom severity (Edmonton Symptom Assessment System [ESAS]), satisfaction with care (FAMCARE-P16), and problems with medical interactions (Cancer Rehabilitation Evaluation System Medical Interaction Subscale [CARES-MIS]) were measured at baseline and monthly for 4 months. The primary outcome was change score for FACIT-Sp at 3 months. Secondary endpoints included change score for FACIT-Sp at 4 months and change scores for other scales at 3 and 4 months. This trial is registered with ClinicalTrials.gov, number NCT01248624. Findings 461 patients completed baseline measures (228 intervention, 233 control); 393 completed at least one follow-up assessment. At 3-months, there was a non-significant difference in change score for FACIT-Sp between intervention and control groups (3·56 points [95% CI-0·27 to 7·40], p=0·07), a significant difference in QUAL-E (2·25 [0·01 to 4·49], p=0·05) and FAMCARE-P16 (3·79 [1·74 to 5·85], p=0·0003), and no difference in ESAS (-1·70 [-5·26 to 1·87], p=0·33) or CARES-MIS (-0·66 [-2·25 to 0·94], p=0·40). At 4 months, there were significant differences in change scores for all outcomes except CARES-MIS. All differences favoured the intervention group. Interpretation Although the difference in quality of life was non-significant at the pr…","author":[{"dropping-particle":"","family":"Zimmermann","given":"Camilla","non-dropping-particle":"","parse-names":false,"suffix":""},{"dropping-particle":"","family":"Swami","given":"Nadia","non-dropping-particle":"","parse-names":false,"suffix":""},{"dropping-particle":"","family":"Krzyzanowska","given":"Monika","non-dropping-particle":"","parse-names":false,"suffix":""},{"dropping-particle":"","family":"Hannon","given":"Breffni","non-dropping-particle":"","parse-names":false,"suffix":""},{"dropping-particle":"","family":"Leighl","given":"Natasha","non-dropping-particle":"","parse-names":false,"suffix":""},{"dropping-particle":"","family":"Oza","given":"Amit","non-dropping-particle":"","parse-names":false,"suffix":""},{"dropping-particle":"","family":"Moore","given":"Malcolm","non-dropping-particle":"","parse-names":false,"suffix":""},{"dropping-particle":"","family":"Rydall","given":"Anne","non-dropping-particle":"","parse-names":false,"suffix":""},{"dropping-particle":"","family":"Rodin","given":"Gary","non-dropping-particle":"","parse-names":false,"suffix":""},{"dropping-particle":"","family":"Tannock","given":"Ian","non-dropping-particle":"","parse-names":false,"suffix":""},{"dropping-particle":"","family":"Donner","given":"Allan","non-dropping-particle":"","parse-names":false,"suffix":""},{"dropping-particle":"","family":"Lo","given":"Christopher","non-dropping-particle":"","parse-names":false,"suffix":""}],"container-title":"The Lancet","id":"ITEM-3","issue":"9930","issued":{"date-parts":[["2014"]]},"page":"1721-1730","publisher":"Lancet Publishing Group","title":"Early palliative care for patients with advanced cancer: A cluster-randomised controlled trial","type":"article-journal","volume":"383"},"uris":["http://www.mendeley.com/documents/?uuid=f2ba17f5-6a9d-37ac-ad0f-4ce145e615b8"]},{"id":"ITEM-4","itemData":{"DOI":"10.1016/S2213-2600(14)70226-7","ISSN":"22132619","PMID":"25465642","abstract":"Background: Breathlessness is a common and distressing symptom, which increases in many diseases as they progress and is difficult to manage. We assessed the effectiveness of early palliative care integrated with respiratory services for patients with advanced disease and refractory breathlessness. Methods: In this single-blind randomised trial, we enrolled consecutive adults with refractory breathlessness and advanced disease from three large teaching hospitals and via general practitioners in South London. We randomly allocated (1:1) patients to receive either a breathlessness support service or usual care. Randomisation was computer generated centrally by the independent Clinical Trials Unit in a 1:1 ratio, by minimisation to balance four potential confounders: cancer versus non-cancer, breathlessness severity, presence of an informal caregiver, and ethnicity. The breathlessness support service was a short-term, single point of access service integrating palliative care, respiratory medicine, physiotherapy, and occupational therapy. Research interviewers were masked as to which patients were in the treatment group. Our primary outcome was patient-reported breathlessness mastery, a quality of life domain in the Chronic Respiratory Disease Questionnaire, at 6 weeks. All analyses were by intention to treat. Survival was a safety endpoint. This trial is registered with ClinicalTrials.gov, number NCT01165034. Findings: Between Oct 22, 2010 and Sept 28, 2012, 105 consenting patients were randomly assigned (53 to breathlessness support service and 52 to usual care). 83 of 105 (78%) patients completed the assessment at week 6. Mastery in the breathlessness support service group improved compared with the control (mean difference 0·58, 95% CI 0·01-1·15, p=0·048; effect size 0·44). Sensitivity analysis found similar results. Survival rate from randomisation to 6 months was better in the breathlessness support service group than in the control group (50 of 53 [94%] vs 39 of 52 [75%]) and in overall survival (generalised Wilcoxon 3·90, p=0·048). Survival differences were significant for patients with chronic obstructive pulmonary disease and interstitial lung disease but not cancer. Interpretation: The breathlessness support service improved breathlessness mastery. Our findings provide robust evidence to support the early integration of palliative care for patients with diseases other than cancer and breathlessness as well as those with cancer. The improvement i…","author":[{"dropping-particle":"","family":"Higginson","given":"Irene J.","non-dropping-particle":"","parse-names":false,"suffix":""},{"dropping-particle":"","family":"Bausewein","given":"Claudia","non-dropping-particle":"","parse-names":false,"suffix":""},{"dropping-particle":"","family":"Reilly","given":"Charles C.","non-dropping-particle":"","parse-names":false,"suffix":""},{"dropping-particle":"","family":"Gao","given":"Wei","non-dropping-particle":"","parse-names":false,"suffix":""},{"dropping-particle":"","family":"Gysels","given":"Marjolein","non-dropping-particle":"","parse-names":false,"suffix":""},{"dropping-particle":"","family":"Dzingina","given":"Mendwas","non-dropping-particle":"","parse-names":false,"suffix":""},{"dropping-particle":"","family":"McCrone","given":"Paul","non-dropping-particle":"","parse-names":false,"suffix":""},{"dropping-particle":"","family":"Booth","given":"Sara","non-dropping-particle":"","parse-names":false,"suffix":""},{"dropping-particle":"","family":"Jolley","given":"Caroline J.","non-dropping-particle":"","parse-names":false,"suffix":""},{"dropping-particle":"","family":"Moxham","given":"John","non-dropping-particle":"","parse-names":false,"suffix":""}],"container-title":"The Lancet Respiratory Medicine","id":"ITEM-4","issue":"12","issued":{"date-parts":[["2014","12","1"]]},"page":"979-987","publisher":"Lancet Publishing Group","title":"An integrated palliative and respiratory care service for patients with advanced disease and refractory breathlessness: A randomised controlled trial","type":"article-journal","volume":"2"},"uris":["http://www.mendeley.com/documents/?uuid=0113b0de-8b9f-31ed-878c-f0877a2ea5cb"]},{"id":"ITEM-5","itemData":{"DOI":"10.1200/JCO.2014.58.6362","ISSN":"15277755","PMID":"25800768","abstract":"Purpose: Randomized controlled trials have supported integrated oncology and palliative care (PC); however, optimal timing has not been evaluated. We investigated the effect of early versus delayed PC on quality of life (QOL), symptom impact, mood, 1-year survival, and resource use. Patients and Methods: Between October 2010 and March 2013, 207 patients with advanced cancer at a National Cancer Institute cancer center, a Veterans Affairs Medical Center, and community outreach clinics were randomly assigned to receive an in-person PC consultation, structured PC telehealth nurse coaching sessions (once per week for six sessions), and monthly follow-up either early after enrollment or 3 months later. Outcomes were QOL, symptom impact, mood, 1-year survival, and resource use (hospital/intensive care unit days, emergency room visits, chemotherapy in last 14 days, and death location). Results: Overall patient-reported outcomes were not statistically significant after enrollment (QOL, P = .34; symptom impact, P = .09; mood, P = .33) or before death (QOL, P = .73; symptom impact, P = .30; mood, P = .82). Kaplan-Meier 1-year survival rates were 63% in the early group and 48% in the delayed group (difference, 15%; P = .038). Relative rates of early to delayed decedents' resource use were similar for hospital days (0.73; 95% CI, 0.41 to 1.27; P = .26), intensive care unit days (0.68; 95% CI, 0.23 to 2.02; P = .49), emergency room visits (0.73; 95% CI, 0.45 to 1.19; P = .21), chemotherapy in last 14 days (1.57; 95% CI, 0.37 to 6.7; P = .27), and home death (27 [54%] v 28 [47%]; P = .60). Conclusion: Early-entry participants' patient-reported outcomes and resource use were not statistically different; however, their survival 1-year after enrollment was improved compared with those who began 3 months later. Understanding the complex mechanisms whereby PC may improve survival remains an important research priority.","author":[{"dropping-particle":"","family":"Bakitas","given":"Marie A.","non-dropping-particle":"","parse-names":false,"suffix":""},{"dropping-particle":"","family":"Tosteson","given":"Tor D.","non-dropping-particle":"","parse-names":false,"suffix":""},{"dropping-particle":"","family":"Li","given":"Zhigang","non-dropping-particle":"","parse-names":false,"suffix":""},{"dropping-particle":"","family":"Lyons","given":"Kathleen D.","non-dropping-particle":"","parse-names":false,"suffix":""},{"dropping-particle":"","family":"Hull","given":"Jay G.","non-dropping-particle":"","parse-names":false,"suffix":""},{"dropping-particle":"","family":"Li","given":"Zhongze","non-dropping-particle":"","parse-names":false,"suffix":""},{"dropping-particle":"","family":"Dionne-Odom","given":"J. Nicholas","non-dropping-particle":"","parse-names":false,"suffix":""},{"dropping-particle":"","family":"Frost","given":"Jennifer","non-dropping-particle":"","parse-names":false,"suffix":""},{"dropping-particle":"","family":"Dragnev","given":"Konstantin H.","non-dropping-particle":"","parse-names":false,"suffix":""},{"dropping-particle":"","family":"Hegel","given":"Mark T.","non-dropping-particle":"","parse-names":false,"suffix":""},{"dropping-particle":"","family":"Azuero","given":"Andres","non-dropping-particle":"","parse-names":false,"suffix":""},{"dropping-particle":"","family":"Ahles","given":"Tim A.","non-dropping-particle":"","parse-names":false,"suffix":""}],"container-title":"Journal of Clinical Oncology","id":"ITEM-5","issue":"13","issued":{"date-parts":[["2015","5","1"]]},"page":"1438-1445","publisher":"American Society of Clinical Oncology","title":"Early versus delayed initiation of concurrent palliative oncology care: Patient outcomes in the ENABLE III randomized controlled trial","type":"article-journal","volume":"33"},"uris":["http://www.mendeley.com/documents/?uuid=813b9c88-75c5-3f11-8290-4ed05ee47471"]},{"id":"ITEM-6","itemData":{"DOI":"10.1200/JCO.2016.70.5046","ISSN":"15277755","PMID":"28029308","abstract":"Purpose We evaluated the impact of early integrated palliative care (PC) in patients with newly diagnosed lung and GI cancer. Patients and Methods We randomly assigned patients with newly diagnosed incurable lung or noncolorectal GI cancer to receive either early integrated PC and oncology care (n = 175) or usual care (n = 175) between May 2011 and July 2015. Patients who were assigned to the intervention met with a PC clinician at least once per month until death, whereas those who received usual care consulted a PC clinician upon request. The primary end point was change in quality of life (QOL) from baseline to week 12, per scoring by the Functional Assessment of Cancer Therapy-General scale. Secondary end points included change in QOL from baseline to week 24, change in depression per the Patient Health Questionnaire-9, and differences in end-of-life communication. Results Intervention patients (v usual care) reported greater improvement inQOLfrom baseline toweek 24 (1.59 v 23.40; P = .010) but not week 12 (0.39 v 21.13; P = .339). Intervention patients also reported lower depression at week 24, controlling for baseline scores (adjusted mean difference,21.17; 95%CI,22.33 to20.01; P5 .048). Intervention effects varied by cancer type, such that intervention patients with lung cancer reported improvements in QOL and depression at 12 and 24 weeks, whereas usual care patients with lung cancer reported deterioration. Patients with GI cancers in both study groups reported improvements in QOL andmood by week 12. Intervention patients versus usual care patients weremore likely to discuss their wishes with their oncologist if they were dying (30.2% v 14.5%; P = .004). Conclusion For patients with newly diagnosed incurable cancers, early integrated PC improved QOL and other salient outcomes, with differential effects by cancer type. Early integrated PC may be most effective if targeted to the specific needs of each patient population.","author":[{"dropping-particle":"","family":"Temel","given":"Jennifer S.","non-dropping-particle":"","parse-names":false,"suffix":""},{"dropping-particle":"","family":"Greer","given":"Joseph A.","non-dropping-particle":"","parse-names":false,"suffix":""},{"dropping-particle":"","family":"El-Jawahri","given":"Areej","non-dropping-particle":"","parse-names":false,"suffix":""},{"dropping-particle":"","family":"Pirl","given":"William F.","non-dropping-particle":"","parse-names":false,"suffix":""},{"dropping-particle":"","family":"Park","given":"Elyse R.","non-dropping-particle":"","parse-names":false,"suffix":""},{"dropping-particle":"","family":"Jackson","given":"Vicki A.","non-dropping-particle":"","parse-names":false,"suffix":""},{"dropping-particle":"","family":"Back","given":"Anthony L.","non-dropping-particle":"","parse-names":false,"suffix":""},{"dropping-particle":"","family":"Kamdar","given":"Mihir","non-dropping-particle":"","parse-names":false,"suffix":""},{"dropping-particle":"","family":"Jacobsen","given":"Juliet","non-dropping-particle":"","parse-names":false,"suffix":""},{"dropping-particle":"","family":"Chittenden","given":"Eva H.","non-dropping-particle":"","parse-names":false,"suffix":""},{"dropping-particle":"","family":"Rinaldi","given":"Simone P.","non-dropping-particle":"","parse-names":false,"suffix":""},{"dropping-particle":"","family":"Gallagher","given":"Emily R.","non-dropping-particle":"","parse-names":false,"suffix":""},{"dropping-particle":"","family":"Eusebio","given":"Justin R.","non-dropping-particle":"","parse-names":false,"suffix":""},{"dropping-particle":"","family":"Li","given":"Zhigang","non-dropping-particle":"","parse-names":false,"suffix":""},{"dropping-particle":"","family":"Muzikansky","given":"Alona","non-dropping-particle":"","parse-names":false,"suffix":""},{"dropping-particle":"","family":"Ryan","given":"David P.","non-dropping-particle":"","parse-names":false,"suffix":""}],"container-title":"Journal of Clinical Oncology","id":"ITEM-6","issue":"8","issued":{"date-parts":[["2017","3","10"]]},"page":"834-841","publisher":"American Society of Clinical Oncology","title":"Effects of early integrated palliative care in patients with lung and gi cancer: A randomized clinical trial","type":"article-journal","volume":"35"},"uris":["http://www.mendeley.com/documents/?uuid=546a9769-f3f5-3ba6-83ec-ab2a89d4baa7"]},{"id":"ITEM-7","itemData":{"DOI":"10.1634/theoncologist.2017-0227","ISSN":"1083-7159","PMID":"28894017","abstract":"BACKGROUND The family and friends (caregivers) of patients with advanced cancer often experience tremendous distress. Although early integrated palliative care (PC) has been shown to improve patient-reported quality of life (QOL) and mood, its effects on caregivers' outcomes is currently unknown. MATERIALS AND METHODS We conducted a randomized trial of early PC integrated with oncology care versus oncology care alone for patients who were newly diagnosed with incurable lung and noncolorectal gastrointestinal cancers and their caregivers. The early PC intervention focused on addressing the needs of both patients and their caregivers. Eligible caregivers were family or friends who would likely accompany patients to clinic visits. The intervention entailed at least monthly patient visits with PC from the time of diagnosis. Caregivers were encouraged, but not required, to attend the palliative care visits. We used the Hospital Anxiety and Depression Scale (HADS) and Medical Health Outcomes Survey Short-Form to assess caregiver mood and QOL. RESULTS Two hundred seventy-five caregivers (intervention n = 137; control n = 138) of the 350 patients participated. The intervention led to improvement in caregivers' total distress (HADS-total adjusted mean difference = -1.45, 95% confidence interval [CI] -2.76 to -0.15, p = .029), depression subscale (HADS-depression adjusted mean difference = -0.71, 95% CI -1.38 to -0.05, p = .036), but not anxiety subscale or QOL at week 12. There were no differences in caregivers' outcomes at week 24. A terminal decline analysis showed significant intervention effects on caregivers' total distress (HADS-total), with effects on both the anxiety and depression subscales at 3 and 6 months before patient death. CONCLUSION Early involvement of PC for patients with newly diagnosed lung and gastrointestinal cancers leads to improvement in caregivers' psychological symptoms. This work demonstrates that the benefits of early, integrated PC models in oncology care extend beyond patient outcomes and positively impact the experience of caregivers. IMPLICATIONS FOR PRACTICE Early involvement of palliative care for patients with newly diagnosed lung and gastrointestinal cancers leads to improvement in caregivers' psychological symptoms. The findings of this trial demonstrate that the benefits of the early, integrated palliative care model in oncology care extend beyond patient outcomes and positively impact the experience of caregivers. These f…","author":[{"dropping-particle":"","family":"El</w:instrText>
      </w:r>
      <w:r w:rsidR="0042445A">
        <w:rPr>
          <w:rFonts w:ascii="Cambria Math" w:eastAsia="Times New Roman" w:hAnsi="Cambria Math" w:cs="Cambria Math"/>
          <w:color w:val="000000"/>
          <w:sz w:val="24"/>
          <w:szCs w:val="24"/>
          <w:lang w:val="de-AT" w:eastAsia="de-AT"/>
        </w:rPr>
        <w:instrText>‐</w:instrText>
      </w:r>
      <w:r w:rsidR="0042445A">
        <w:rPr>
          <w:rFonts w:ascii="Arial" w:eastAsia="Times New Roman" w:hAnsi="Arial" w:cs="Arial"/>
          <w:color w:val="000000"/>
          <w:sz w:val="24"/>
          <w:szCs w:val="24"/>
          <w:lang w:val="de-AT" w:eastAsia="de-AT"/>
        </w:rPr>
        <w:instrText>Jawahri","given":"Areej","non-dropping-particle":"","parse-names":false,"suffix":""},{"dropping-particle":"","family":"Greer","given":"Joseph A.","non-dropping-particle":"","parse-names":false,"suffix":""},{"dropping-particle":"","family":"Pirl","given":"William F.","non-dropping-particle":"","parse-names":false,"suffix":""},{"dropping-particle":"","family":"Park","given":"Elyse R.","non-dropping-particle":"","parse-names":false,"suffix":""},{"dropping-particle":"","family":"Jackson","given":"Vicki A.","non-dropping-particle":"","parse-names":false,"suffix":""},{"dropping-particle":"","family":"Back","given":"Anthony L.","non-dropping-particle":"","parse-names":false,"suffix":""},{"dropping-particle":"","family":"Kamdar","given":"Mihir","non-dropping-particle":"","parse-names":false,"suffix":""},{"dropping-particle":"","family":"Jacobsen","given":"Juliet","non-dropping-particle":"","parse-names":false,"suffix":""},{"dropping-particle":"","family":"Chittenden","given":"Eva H.","non-dropping-particle":"","parse-names":false,"suffix":""},{"dropping-particle":"","family":"Rinaldi","given":"Simone P.","non-dropping-particle":"","parse-names":false,"suffix":""},{"dropping-particle":"","family":"Gallagher","given":"Emily R.","non-dropping-particle":"","parse-names":false,"suffix":""},{"dropping-particle":"","family":"Eusebio","given":"Justin R.","non-dropping-particle":"","parse-names":false,"suffix":""},{"dropping-particle":"","family":"Fishman","given":"Sarah","non-dropping-particle":"","parse-names":false,"suffix":""},{"dropping-particle":"","family":"VanDusen","given":"Harry","non-dropping-particle":"","parse-names":false,"suffix":""},{"dropping-particle":"","family":"Li","given":"Zhigang","non-dropping-particle":"","parse-names":false,"suffix":""},{"dropping-particle":"","family":"Muzikansky","given":"Alona","non-dropping-particle":"","parse-names":false,"suffix":""},{"dropping-particle":"","family":"Temel","given":"Jennifer S.","non-dropping-particle":"","parse-names":false,"suffix":""}],"container-title":"The Oncologist","id":"ITEM-7","issue":"12","issued":{"date-parts":[["2017","12"]]},"page":"1528-1534","publisher":"Wiley","title":"Effects of Early Integrated Palliative Care on Caregivers of Patients with Lung and Gastrointestinal Cancer: A Randomized Clinical Trial","type":"article-journal","volume":"22"},"uris":["http://www.mendeley.com/documents/?uuid=348136a2-80cb-34d1-ad9c-b84c60343e91"]},{"id":"ITEM-8","itemData":{"DOI":"10.1200/JCO.2016.70.1474","ISSN":"15277755","PMID":"28034065","abstract":"Purpose To provide evidence-based recommendations to oncology clinicians, patients, family and friend caregivers, and palliative care specialists to update the 2012 American Society of Clinical Oncology (ASCO) provisional clinical opinion (PCO) on the integration of palliative care into standard oncology care for all patients diagnosed with cancer. Methods ASCO convened an Expert Panel of members of the ASCO Ad Hoc Palliative Care Expert Panel to develop an update. The 2012 PCO was based on a review of a randomized controlled trial (RCT) by the National Cancer Institute Physicians Data Query and additional trials. The panel conducted an updated systematic review seeking randomized clinical trials, systematic reviews, and metaanalyses, as well as secondary analyses of RCTs in the 2012 PCO, published from March 2010 to January 2016. Results The guideline update reflects changes in evidence since the previous guideline. Nine RCTs, one quasiexperimental trial, and five secondary analyses from RCTs in the 2012 PCO on providing palliative care services to patients with cancer and/or their caregivers, including family caregivers, were found to inform the update. Recommendations Inpatients and outpatients with advanced cancer should receive dedicated palliative care services, early in the disease course, concurrent with active treatment. Referral of patients to interdisciplinary palliative care teams is optimal, and services may complement existing programs. Providers may refer family and friend caregivers of patients with early or advanced cancer to palliative care services.","author":[{"dropping-particle":"","family":"Ferrell","given":"Betty R.","non-dropping-particle":"","parse-names":false,"suffix":""},{"dropping-particle":"","family":"Temel","given":"Jennifer S.","non-dropping-particle":"","parse-names":false,"suffix":""},{"dropping-particle":"","family":"Temin","given":"Sarah","non-dropping-particle":"","parse-names":false,"suffix":""},{"dropping-particle":"","family":"Alesi","given":"Erin R.","non-dropping-particle":"","parse-names":false,"suffix":""},{"dropping-particle":"","family":"Balboni","given":"Tracy A.","non-dropping-particle":"","parse-names":false,"suffix":""},{"dropping-particle":"","family":"Basch","given":"Ethan M.","non-dropping-particle":"","parse-names":false,"suffix":""},{"dropping-particle":"","family":"Firn","given":"Janice I.","non-dropping-particle":"","parse-names":false,"suffix":""},{"dropping-particle":"","family":"Paice","given":"Judith A.","non-dropping-particle":"","parse-names":false,"suffix":""},{"dropping-particle":"","family":"Peppercorn","given":"Jeffrey M.","non-dropping-particle":"","parse-names":false,"suffix":""},{"dropping-particle":"","family":"Phillips","given":"Tanyanika","non-dropping-particle":"","parse-names":false,"suffix":""},{"dropping-particle":"","family":"Stovall","given":"Ellen L.","non-dropping-particle":"","parse-names":false,"suffix":""},{"dropping-particle":"","family":"Zimmermann","given":"Camilla","non-dropping-particle":"","parse-names":false,"suffix":""},{"dropping-particle":"","family":"Smith","given":"Thomas J.","non-dropping-particle":"","parse-names":false,"suffix":""}],"container-title":"Journal of Clinical Oncology","id":"ITEM-8","issue":"1","issued":{"date-parts":[["2017","1","1"]]},"page":"96-112","publisher":"American Society of Clinical Oncology","title":"Integration of palliative care into standard oncology care: American society of clinical oncology clinical practice guideline update","type":"article-journal","volume":"35"},"uris":["http://www.mendeley.com/documents/?uuid=31e00799-9794-3740-b600-05580cd7b492"]}],"mendeley":{"formattedCitation":"&lt;sup&gt;39–46&lt;/sup&gt;","plainTextFormattedCitation":"39–46","previouslyFormattedCitation":"&lt;sup&gt;38–45&lt;/sup&gt;"},"properties":{"noteIndex":0},"schema":"https://github.com/citation-style-language/schema/raw/master/csl-citation.json"}</w:instrText>
      </w:r>
      <w:r w:rsidR="000C74FE">
        <w:rPr>
          <w:rFonts w:ascii="Arial" w:eastAsia="Times New Roman" w:hAnsi="Arial" w:cs="Arial"/>
          <w:color w:val="000000"/>
          <w:sz w:val="24"/>
          <w:szCs w:val="24"/>
          <w:lang w:val="de-AT" w:eastAsia="de-AT"/>
        </w:rPr>
        <w:fldChar w:fldCharType="separate"/>
      </w:r>
      <w:r w:rsidR="0042445A" w:rsidRPr="0042445A">
        <w:rPr>
          <w:rFonts w:ascii="Arial" w:eastAsia="Times New Roman" w:hAnsi="Arial" w:cs="Arial"/>
          <w:noProof/>
          <w:color w:val="000000"/>
          <w:sz w:val="24"/>
          <w:szCs w:val="24"/>
          <w:vertAlign w:val="superscript"/>
          <w:lang w:val="de-AT" w:eastAsia="de-AT"/>
        </w:rPr>
        <w:t>39–46</w:t>
      </w:r>
      <w:r w:rsidR="000C74FE">
        <w:rPr>
          <w:rFonts w:ascii="Arial" w:eastAsia="Times New Roman" w:hAnsi="Arial" w:cs="Arial"/>
          <w:color w:val="000000"/>
          <w:sz w:val="24"/>
          <w:szCs w:val="24"/>
          <w:lang w:val="de-AT" w:eastAsia="de-AT"/>
        </w:rPr>
        <w:fldChar w:fldCharType="end"/>
      </w:r>
      <w:r w:rsidRPr="000F2811">
        <w:rPr>
          <w:rFonts w:ascii="Arial" w:hAnsi="Arial" w:cs="Arial"/>
          <w:sz w:val="24"/>
          <w:szCs w:val="24"/>
        </w:rPr>
        <w:t xml:space="preserve"> Entsprechend empfehlen z.B. die Weltgesundheitsorganisation (WHO) </w:t>
      </w:r>
      <w:r w:rsidRPr="000F2811">
        <w:rPr>
          <w:rFonts w:ascii="Arial" w:hAnsi="Arial" w:cs="Arial"/>
          <w:color w:val="000000"/>
          <w:sz w:val="24"/>
          <w:szCs w:val="24"/>
        </w:rPr>
        <w:t>(WHO Definition 2012), die Amerikanische Gesellschaft für klinischen Onkologie (ASCO) oder die nationale S3 Leitlinie Palliativmedizin für Patienten mit einer nicht heilbaren Krebserkrankung (https://www.leitlinienprogramm-onkologie.de/leitlinien/palliativmedizin/) die frühzeitige Integration des palliativmedizinischen Ansatzes in die Versorgung onkologischer Patienten.</w:t>
      </w:r>
      <w:r w:rsidR="000C74FE">
        <w:rPr>
          <w:rFonts w:ascii="Arial" w:hAnsi="Arial" w:cs="Arial"/>
          <w:color w:val="000000"/>
          <w:sz w:val="24"/>
          <w:szCs w:val="24"/>
        </w:rPr>
        <w:fldChar w:fldCharType="begin" w:fldLock="1"/>
      </w:r>
      <w:r w:rsidR="0042445A">
        <w:rPr>
          <w:rFonts w:ascii="Arial" w:hAnsi="Arial" w:cs="Arial"/>
          <w:color w:val="000000"/>
          <w:sz w:val="24"/>
          <w:szCs w:val="24"/>
        </w:rPr>
        <w:instrText>ADDIN CSL_CITATION {"citationItems":[{"id":"ITEM-1","itemData":{"DOI":"10.1200/JCO.2011.38.5161","ISSN":"0732183X","PMID":"22312101","abstract":"Purpose: An American Society of Clinical Oncology (ASCO) provisional clinical opinion (PCO) offers timely clinical direction to ASCO's membership following publication or presentation of potentially practice-changing data from major studies. This PCO addresses the integration of palliative care services into standard oncology practice at the time a person is diagnosed with metastatic or advanced cancer. Clinical Context: Palliative care is frequently misconstrued as synonymous with end-of-life care. Palliative care is focused on the relief of suffering, in all of its dimensions, throughout the course of a patient's illness. Although the use of hospice and other palliative care services at the end of life has increased, many patients are enrolled in hospice less than 3 weeks before their death, which limits the benefit they may gain from these services. By potentially improving quality of life (QOL), cost of care, and even survival in patients with metastatic cancer, palliative care has increasing relevance for the care of patients with cancer. Until recently, data from randomized controlled trials (RCTs) demonstrating the benefits of palliative care in patients with metastatic cancer who are also receiving standard oncology care have not been available. Recent Data: Seven published RCTs form the basis of this PCO. © 2012 by American Society of Clinical Oncology.","author":[{"dropping-particle":"","family":"Smith","given":"Thomas J.","non-dropping-particle":"","parse-names":false,"suffix":""},{"dropping-particle":"","family":"Temin","given":"Sarah","non-dropping-particle":"","parse-names":false,"suffix":""},{"dropping-particle":"","family":"Alesi","given":"Erin R.","non-dropping-particle":"","parse-names":false,"suffix":""},{"dropping-particle":"","family":"Abernethy","given":"Amy P.","non-dropping-particle":"","parse-names":false,"suffix":""},{"dropping-particle":"","family":"Balboni","given":"Tracy A.","non-dropping-particle":"","parse-names":false,"suffix":""},{"dropping-particle":"","family":"Basch","given":"Ethan M.","non-dropping-particle":"","parse-names":false,"suffix":""},{"dropping-particle":"","family":"Ferrell","given":"Betty R.","non-dropping-particle":"","parse-names":false,"suffix":""},{"dropping-particle":"","family":"Loscalzo","given":"Matt","non-dropping-particle":"","parse-names":false,"suffix":""},{"dropping-particle":"","family":"Meier","given":"Diane E.","non-dropping-particle":"","parse-names":false,"suffix":""},{"dropping-particle":"","family":"Paice","given":"Judith A.","non-dropping-particle":"","parse-names":false,"suffix":""},{"dropping-particle":"","family":"Peppercorn","given":"Jeffrey M.","non-dropping-particle":"","parse-names":false,"suffix":""},{"dropping-particle":"","family":"Somerfield","given":"Mark","non-dropping-particle":"","parse-names":false,"suffix":""},{"dropping-particle":"","family":"Stovall","given":"Ellen","non-dropping-particle":"","parse-names":false,"suffix":""},{"dropping-particle":"","family":"Roenn","given":"Jamie H.","non-dropping-particle":"Von","parse-names":false,"suffix":""}],"container-title":"Journal of Clinical Oncology","id":"ITEM-1","issue":"8","issued":{"date-parts":[["2012","3","10"]]},"page":"880-887","title":"American Society of Clinical Oncology provisional clinical opinion: The integration of palliative care into standard oncology care","type":"article","volume":"30"},"uris":["http://www.mendeley.com/documents/?uuid=ddc403a9-51dc-3485-bb91-a6680d83c911"]},{"id":"ITEM-2","itemData":{"DOI":"10.1200/JGO.18.00026","ISSN":"23789506","PMID":"30085844","abstract":"Purpose: The purpose of this new resource-stratified guideline is to provide expert guidance to clinicians and policymakers on implementing palliative care of patients with cancer and their caregivers in resource-constrained settings and is intended to complement the Integration of Palliative Care Into Standard Oncology Care: American Society of Clinical Oncology Clinical Practice Guideline Update of 2016. Methods: ASCO convened a multidisciplinary, multinational panel of experts in medical oncology, family medicine, radiation oncology, hematology/oncology, palliative and/or hospice care, pain and/or symptom management, patient advocacy, public health, and health economics. Guideline development involved a systematic literature review, a modified ADAPTE process, and a formal consensus-based process with the Expert Panel and additional experts (consensus ratings group). Results: The systematic review included 48 full-text publications regarding palliative care in resource-constrained settings, along with cost-effectiveness analyses; the evidence for many clinical questions was limited. These provided indirect evidence to inform the formal consensus process, which resulted in agreement of ≥ 75% (by consensus ratings group including Expert Panel). Recommendations The recommendations help define the models of care, staffing requirements, and roles and training needs of team members in a variety of resource settings for palliative care. Recommendations also outline the standards for provision of psychosocial support, spiritual care, and opioid analgesics, which can be particularly challenging and often overlooked in resource-constrained settings. Additional information is available at www.asco.org/resource-stratified-guidelines. Recommendations: It is the view of ASCO that health care providers and health care system decision makers should be guided by the recommendations for the highest stratum of resources available. The guideline is intended to complement but not replace local guidelines.","author":[{"dropping-particle":"","family":"Osman","given":"Hibah","non-dropping-particle":"","parse-names":false,"suffix":""},{"dropping-particle":"","family":"Shrestha","given":"Sudip","non-dropping-particle":"","parse-names":false,"suffix":""},{"dropping-particle":"","family":"Temin","given":"Sarah","non-dropping-particle":"","parse-names":false,"suffix":""},{"dropping-particle":"V.","family":"Ali","given":"Zipporah","non-dropping-particle":"","parse-names":false,"suffix":""},{"dropping-particle":"","family":"Corvera","given":"Rumalie A.","non-dropping-particle":"","parse-names":false,"suffix":""},{"dropping-particle":"","family":"Ddungu","given":"Henry D.","non-dropping-particle":"","parse-names":false,"suffix":""},{"dropping-particle":"","family":"Lima","given":"Liliana","non-dropping-particle":"De","parse-names":false,"suffix":""},{"dropping-particle":"Del","family":"PilarEstevez-Diz","given":"Maria","non-dropping-particle":"","parse-names":false,"suffix":""},{"dropping-particle":"","family":"Ferris","given":"Frank D.","non-dropping-particle":"","parse-names":false,"suffix":""},{"dropping-particle":"","family":"Gafer","given":"Nahla","non-dropping-particle":"","parse-names":false,"suffix":""},{"dropping-particle":"","family":"Gupta","given":"Harmala K.","non-dropping-particle":"","parse-names":false,"suffix":""},{"dropping-particle":"","family":"Horton","given":"Susan","non-dropping-particle":"","parse-names":false,"suffix":""},{"dropping-particle":"","family":"Jacob","given":"Graciela","non-dropping-particle":"","parse-names":false,"suffix":""},{"dropping-particle":"","family":"Jia","given":"Ruinuo","non-dropping-particle":"","parse-names":false,"suffix":""},{"dropping-particle":"","family":"Lu","given":"Frank L.","non-dropping-particle":"","parse-names":false,"suffix":""},{"dropping-particle":"","family":"Mosoiu","given":"Daniela","non-dropping-particle":"","parse-names":false,"suffix":""},{"dropping-particle":"","family":"Puchalski","given":"Christina","non-dropping-particle":"","parse-names":false,"suffix":""},{"dropping-particle":"","family":"Seigel","given":"Carole","non-dropping-particle":"","parse-names":false,"suffix":""},{"dropping-particle":"","family":"Soyannwo","given":"Olaitan","non-dropping-particle":"","parse-names":false,"suffix":""},{"dropping-particle":"","family":"Cleary","given":"James F.","non-dropping-particle":"","parse-names":false,"suffix":""}],"container-title":"Journal of Global Oncology","id":"ITEM-2","issue":"4","issued":{"date-parts":[["2018","3","1"]]},"publisher":"American Society of Clinical Oncology","title":"Palliative care in the global setting: ASCO resource-stratified practice guideline","type":"article-journal","volume":"2018"},"uris":["http://www.mendeley.com/documents/?uuid=6a43b122-c290-3874-aa9c-4b60d5369a2c"]}],"mendeley":{"formattedCitation":"&lt;sup&gt;47,48&lt;/sup&gt;","plainTextFormattedCitation":"47,48","previouslyFormattedCitation":"&lt;sup&gt;46,47&lt;/sup&gt;"},"properties":{"noteIndex":0},"schema":"https://github.com/citation-style-language/schema/raw/master/csl-citation.json"}</w:instrText>
      </w:r>
      <w:r w:rsidR="000C74FE">
        <w:rPr>
          <w:rFonts w:ascii="Arial" w:hAnsi="Arial" w:cs="Arial"/>
          <w:color w:val="000000"/>
          <w:sz w:val="24"/>
          <w:szCs w:val="24"/>
        </w:rPr>
        <w:fldChar w:fldCharType="separate"/>
      </w:r>
      <w:r w:rsidR="0042445A" w:rsidRPr="0042445A">
        <w:rPr>
          <w:rFonts w:ascii="Arial" w:hAnsi="Arial" w:cs="Arial"/>
          <w:noProof/>
          <w:color w:val="000000"/>
          <w:sz w:val="24"/>
          <w:szCs w:val="24"/>
          <w:vertAlign w:val="superscript"/>
        </w:rPr>
        <w:t>47,48</w:t>
      </w:r>
      <w:r w:rsidR="000C74FE">
        <w:rPr>
          <w:rFonts w:ascii="Arial" w:hAnsi="Arial" w:cs="Arial"/>
          <w:color w:val="000000"/>
          <w:sz w:val="24"/>
          <w:szCs w:val="24"/>
        </w:rPr>
        <w:fldChar w:fldCharType="end"/>
      </w:r>
      <w:r w:rsidRPr="000F2811">
        <w:rPr>
          <w:rFonts w:ascii="Arial" w:hAnsi="Arial" w:cs="Arial"/>
          <w:color w:val="000000"/>
          <w:sz w:val="24"/>
          <w:szCs w:val="24"/>
        </w:rPr>
        <w:t xml:space="preserve"> </w:t>
      </w:r>
    </w:p>
    <w:p w14:paraId="2C12BD24" w14:textId="17586A29" w:rsidR="00B23D82" w:rsidRPr="000F2811" w:rsidRDefault="004123AC" w:rsidP="002D6BC8">
      <w:pPr>
        <w:autoSpaceDE w:val="0"/>
        <w:autoSpaceDN w:val="0"/>
        <w:adjustRightInd w:val="0"/>
        <w:spacing w:line="360" w:lineRule="auto"/>
        <w:jc w:val="both"/>
        <w:rPr>
          <w:rFonts w:ascii="Arial" w:hAnsi="Arial" w:cs="Arial"/>
          <w:color w:val="000000"/>
          <w:sz w:val="24"/>
          <w:szCs w:val="24"/>
        </w:rPr>
      </w:pPr>
      <w:r w:rsidRPr="000F2811">
        <w:rPr>
          <w:rFonts w:ascii="Arial" w:hAnsi="Arial" w:cs="Arial"/>
          <w:color w:val="000000"/>
          <w:sz w:val="24"/>
          <w:szCs w:val="24"/>
        </w:rPr>
        <w:t xml:space="preserve">Frühzeitig heißt, dass die Patienten je nach Art und Prognose der Tumorerkrankung schon ab Diagnosestellung eine palliativmedizinische Beratung oder Mitbehandlung erfahren sollen, also auch schon dann, wenn noch tumorspezifische Behandlungen erfolgen. </w:t>
      </w:r>
      <w:r w:rsidR="00B23D82" w:rsidRPr="000F2811">
        <w:rPr>
          <w:rFonts w:ascii="Arial" w:hAnsi="Arial" w:cs="Arial"/>
          <w:sz w:val="24"/>
          <w:szCs w:val="24"/>
        </w:rPr>
        <w:t>Jedoch</w:t>
      </w:r>
      <w:r w:rsidRPr="000F2811">
        <w:rPr>
          <w:rFonts w:ascii="Arial" w:hAnsi="Arial" w:cs="Arial"/>
          <w:sz w:val="24"/>
          <w:szCs w:val="24"/>
        </w:rPr>
        <w:t xml:space="preserve"> hält sich noch heute har</w:t>
      </w:r>
      <w:r w:rsidRPr="000F2811">
        <w:rPr>
          <w:rFonts w:ascii="Arial" w:hAnsi="Arial" w:cs="Arial"/>
          <w:color w:val="000000"/>
          <w:sz w:val="24"/>
          <w:szCs w:val="24"/>
        </w:rPr>
        <w:t xml:space="preserve">tnäckig das Model, dass </w:t>
      </w:r>
      <w:r w:rsidR="00B23D82" w:rsidRPr="000F2811">
        <w:rPr>
          <w:rFonts w:ascii="Arial" w:hAnsi="Arial" w:cs="Arial"/>
          <w:color w:val="000000"/>
          <w:sz w:val="24"/>
          <w:szCs w:val="24"/>
        </w:rPr>
        <w:t>ein</w:t>
      </w:r>
      <w:r w:rsidRPr="000F2811">
        <w:rPr>
          <w:rFonts w:ascii="Arial" w:hAnsi="Arial" w:cs="Arial"/>
          <w:color w:val="000000"/>
          <w:sz w:val="24"/>
          <w:szCs w:val="24"/>
        </w:rPr>
        <w:t xml:space="preserve"> palliativmedizinische</w:t>
      </w:r>
      <w:r w:rsidR="00B23D82" w:rsidRPr="000F2811">
        <w:rPr>
          <w:rFonts w:ascii="Arial" w:hAnsi="Arial" w:cs="Arial"/>
          <w:color w:val="000000"/>
          <w:sz w:val="24"/>
          <w:szCs w:val="24"/>
        </w:rPr>
        <w:t>r</w:t>
      </w:r>
      <w:r w:rsidRPr="000F2811">
        <w:rPr>
          <w:rFonts w:ascii="Arial" w:hAnsi="Arial" w:cs="Arial"/>
          <w:color w:val="000000"/>
          <w:sz w:val="24"/>
          <w:szCs w:val="24"/>
        </w:rPr>
        <w:t xml:space="preserve"> Ansatz erst dann zum Tragen kommen sollte, wenn keine tumorspezifischen Therapien mehr indiziert sind. Dieses Vorgehen entspricht jedoch nicht dem aktuell herrschenden Wissensstand. </w:t>
      </w:r>
    </w:p>
    <w:p w14:paraId="775A076A" w14:textId="10C17C09" w:rsidR="004123AC" w:rsidRPr="000F2811" w:rsidRDefault="004123AC" w:rsidP="002D6BC8">
      <w:pPr>
        <w:autoSpaceDE w:val="0"/>
        <w:autoSpaceDN w:val="0"/>
        <w:adjustRightInd w:val="0"/>
        <w:spacing w:line="360" w:lineRule="auto"/>
        <w:jc w:val="both"/>
        <w:rPr>
          <w:rFonts w:ascii="Arial" w:hAnsi="Arial" w:cs="Arial"/>
          <w:color w:val="000000"/>
          <w:sz w:val="24"/>
          <w:szCs w:val="24"/>
        </w:rPr>
      </w:pPr>
      <w:r w:rsidRPr="000F2811">
        <w:rPr>
          <w:rFonts w:ascii="Arial" w:hAnsi="Arial" w:cs="Arial"/>
          <w:color w:val="000000"/>
          <w:sz w:val="24"/>
          <w:szCs w:val="24"/>
        </w:rPr>
        <w:t>Während der palliativmedizinischen Behandlung werden die Bedürfnisse von Patienten und deren sorgenden Angehörigen in den Fokus genommen. Je nach Komplexität des Patienten erfolgt eine Versorgung eines Palliativpatienten in den Strukturen der allgemeinen Palliativversorgung (z.B. Fach- und Hausärzte mit der Zusatzbezeichnung Palliativmedizin, Pflegedienste, die in palliative care fort-/ausgebildet sind) oder in den Strukturen der spezialisierten Palliativversorgung (z.B. spezialisierte ambulante Palliativversorgung (SAPV), Palliativstation, Palliativdienst im Krankenhaus, stationäres Hospiz). Die empfohlenen Behandlungspfade sind in „</w:t>
      </w:r>
      <w:r w:rsidRPr="000F2811">
        <w:rPr>
          <w:rFonts w:ascii="Arial" w:hAnsi="Arial" w:cs="Arial"/>
          <w:sz w:val="24"/>
          <w:szCs w:val="24"/>
        </w:rPr>
        <w:t>Abbildung 1: Behandlungspfad für Patienten und Angehörige“</w:t>
      </w:r>
      <w:r w:rsidRPr="000F2811">
        <w:rPr>
          <w:rFonts w:ascii="Arial" w:hAnsi="Arial" w:cs="Arial"/>
          <w:b/>
          <w:bCs/>
          <w:sz w:val="24"/>
          <w:szCs w:val="24"/>
        </w:rPr>
        <w:t xml:space="preserve"> </w:t>
      </w:r>
      <w:r w:rsidRPr="000F2811">
        <w:rPr>
          <w:rFonts w:ascii="Arial" w:hAnsi="Arial" w:cs="Arial"/>
          <w:color w:val="000000"/>
          <w:sz w:val="24"/>
          <w:szCs w:val="24"/>
        </w:rPr>
        <w:t xml:space="preserve">in der nationalen S3 Leitlinie Palliativmedizin für Patienten mit einer nicht heilbaren Krebserkrankung (https://www.leitlinienprogramm-onkologie.de/leitlinien/palliativmedizin/) veranschaulicht. Neben den physischen Beschwerden adressiert der multiprofessionelle interdisziplinäre palliativmedizinische Ansatz psychische, soziale und spirituelle Fragestellungen und Probleme. Aufgrund des Einbezugs des zentralen Nervensystems in die Erkrankung spielen für Patienten </w:t>
      </w:r>
      <w:r w:rsidR="00B23D82" w:rsidRPr="000F2811">
        <w:rPr>
          <w:rFonts w:ascii="Arial" w:hAnsi="Arial" w:cs="Arial"/>
          <w:color w:val="000000"/>
          <w:sz w:val="24"/>
          <w:szCs w:val="24"/>
        </w:rPr>
        <w:t xml:space="preserve">mit Hirnmetastasen </w:t>
      </w:r>
      <w:r w:rsidRPr="000F2811">
        <w:rPr>
          <w:rFonts w:ascii="Arial" w:hAnsi="Arial" w:cs="Arial"/>
          <w:color w:val="000000"/>
          <w:sz w:val="24"/>
          <w:szCs w:val="24"/>
        </w:rPr>
        <w:t xml:space="preserve">insbesondere die Behandlung und der Umgang mit Delir, organischen Persönlichkeitsveränderungen, Hirndrucksymptomatik und epileptischen Anfällen im palliativmedizinischen Setting eine besondere </w:t>
      </w:r>
      <w:r w:rsidR="00B23D82" w:rsidRPr="000F2811">
        <w:rPr>
          <w:rFonts w:ascii="Arial" w:hAnsi="Arial" w:cs="Arial"/>
          <w:color w:val="000000"/>
          <w:sz w:val="24"/>
          <w:szCs w:val="24"/>
        </w:rPr>
        <w:t>Rolle</w:t>
      </w:r>
      <w:r w:rsidRPr="000F2811">
        <w:rPr>
          <w:rFonts w:ascii="Arial" w:hAnsi="Arial" w:cs="Arial"/>
          <w:color w:val="000000"/>
          <w:sz w:val="24"/>
          <w:szCs w:val="24"/>
        </w:rPr>
        <w:t>. Diese Symptom</w:t>
      </w:r>
      <w:r w:rsidR="00B23D82" w:rsidRPr="000F2811">
        <w:rPr>
          <w:rFonts w:ascii="Arial" w:hAnsi="Arial" w:cs="Arial"/>
          <w:color w:val="000000"/>
          <w:sz w:val="24"/>
          <w:szCs w:val="24"/>
        </w:rPr>
        <w:t>e</w:t>
      </w:r>
      <w:r w:rsidRPr="000F2811">
        <w:rPr>
          <w:rFonts w:ascii="Arial" w:hAnsi="Arial" w:cs="Arial"/>
          <w:color w:val="000000"/>
          <w:sz w:val="24"/>
          <w:szCs w:val="24"/>
        </w:rPr>
        <w:t xml:space="preserve"> bedürfen einer intensiven Betreuung nicht nur der Patienten, sondern auch der Angehörigen, da sie ihre erkrankten Nächsten durch diese Symptomkomplexe als beängstigend entfremdet erleben. Gerade für Patienten, deren Erkrankung das zentrale Nervensystem mit in die Erkrankung einbezieht, ist die frühzeitige Auseinandersetzung mit der Vorsorgeplanung (z.B. Erstellung einer Patientenverfügung, Vorsorgevollmacht) von großer Bedeutung, um den Angehörigen und Behandlern Entscheidungen im Behandlungsverlauf zu vereinfachen, wenn die Patienten nicht mehr für sich selbst entscheiden können.</w:t>
      </w:r>
    </w:p>
    <w:p w14:paraId="53DB5821" w14:textId="77777777" w:rsidR="004123AC" w:rsidRPr="000F2811" w:rsidRDefault="004123AC" w:rsidP="002D6BC8">
      <w:pPr>
        <w:autoSpaceDE w:val="0"/>
        <w:autoSpaceDN w:val="0"/>
        <w:adjustRightInd w:val="0"/>
        <w:spacing w:line="360" w:lineRule="auto"/>
        <w:jc w:val="both"/>
        <w:rPr>
          <w:rFonts w:ascii="Arial" w:hAnsi="Arial" w:cs="Arial"/>
          <w:color w:val="000000"/>
          <w:sz w:val="24"/>
          <w:szCs w:val="24"/>
        </w:rPr>
      </w:pPr>
    </w:p>
    <w:p w14:paraId="20D0D61D" w14:textId="77777777" w:rsidR="004123AC" w:rsidRPr="000F2811" w:rsidRDefault="004123AC"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lang w:val="de-DE"/>
        </w:rPr>
      </w:pPr>
    </w:p>
    <w:p w14:paraId="5B20A467" w14:textId="1C4BAB21" w:rsidR="00205305" w:rsidRPr="000F2811" w:rsidRDefault="00205305"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b/>
          <w:color w:val="000000"/>
          <w:lang w:val="de-AT" w:eastAsia="de-AT"/>
        </w:rPr>
      </w:pPr>
    </w:p>
    <w:p w14:paraId="26C5F80E" w14:textId="77777777" w:rsidR="002E5E5B" w:rsidRDefault="002E5E5B">
      <w:pPr>
        <w:spacing w:after="160" w:line="259" w:lineRule="auto"/>
        <w:rPr>
          <w:rFonts w:ascii="Arial" w:eastAsia="Times New Roman" w:hAnsi="Arial" w:cs="Arial"/>
          <w:b/>
          <w:color w:val="000000"/>
          <w:sz w:val="24"/>
          <w:szCs w:val="24"/>
          <w:lang w:val="de-AT" w:eastAsia="de-AT"/>
        </w:rPr>
      </w:pPr>
      <w:r>
        <w:rPr>
          <w:rFonts w:eastAsia="Times New Roman"/>
          <w:b/>
          <w:color w:val="000000"/>
          <w:lang w:val="de-AT" w:eastAsia="de-AT"/>
        </w:rPr>
        <w:br w:type="page"/>
      </w:r>
    </w:p>
    <w:p w14:paraId="4263CAEA" w14:textId="77777777" w:rsidR="001410BF" w:rsidRDefault="00875D23" w:rsidP="00A218C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eastAsia="Times New Roman"/>
          <w:color w:val="000000"/>
          <w:lang w:val="de-AT" w:eastAsia="de-AT"/>
        </w:rPr>
      </w:pPr>
      <w:r w:rsidRPr="000F2811">
        <w:rPr>
          <w:rFonts w:eastAsia="Times New Roman"/>
          <w:b/>
          <w:color w:val="000000"/>
          <w:lang w:val="de-AT" w:eastAsia="de-AT"/>
        </w:rPr>
        <w:t xml:space="preserve">Die </w:t>
      </w:r>
      <w:r w:rsidR="00205305" w:rsidRPr="000F2811">
        <w:rPr>
          <w:rFonts w:eastAsia="Times New Roman"/>
          <w:b/>
          <w:color w:val="000000"/>
          <w:lang w:val="de-AT" w:eastAsia="de-AT"/>
        </w:rPr>
        <w:t>Bedeutung</w:t>
      </w:r>
      <w:r w:rsidRPr="000F2811">
        <w:rPr>
          <w:rFonts w:eastAsia="Times New Roman"/>
          <w:b/>
          <w:color w:val="000000"/>
          <w:lang w:val="de-AT" w:eastAsia="de-AT"/>
        </w:rPr>
        <w:t xml:space="preserve"> der interdisziplinären Kommunikation:</w:t>
      </w:r>
    </w:p>
    <w:p w14:paraId="7B0ED72A" w14:textId="4817F986" w:rsidR="001E237B" w:rsidRDefault="001E237B"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Pr>
          <w:rFonts w:eastAsia="Times New Roman"/>
          <w:color w:val="000000"/>
          <w:lang w:val="de-AT" w:eastAsia="de-AT"/>
        </w:rPr>
        <w:t xml:space="preserve">Durch die </w:t>
      </w:r>
      <w:r w:rsidR="00FE3114">
        <w:rPr>
          <w:rFonts w:eastAsia="Times New Roman"/>
          <w:color w:val="000000"/>
          <w:lang w:val="de-AT" w:eastAsia="de-AT"/>
        </w:rPr>
        <w:t xml:space="preserve">o.g. </w:t>
      </w:r>
      <w:r>
        <w:rPr>
          <w:rFonts w:eastAsia="Times New Roman"/>
          <w:color w:val="000000"/>
          <w:lang w:val="de-AT" w:eastAsia="de-AT"/>
        </w:rPr>
        <w:t xml:space="preserve">Entwicklung neuer </w:t>
      </w:r>
      <w:r w:rsidR="00FE3114">
        <w:rPr>
          <w:rFonts w:eastAsia="Times New Roman"/>
          <w:color w:val="000000"/>
          <w:lang w:val="de-AT" w:eastAsia="de-AT"/>
        </w:rPr>
        <w:t xml:space="preserve">therapeutischer </w:t>
      </w:r>
      <w:r>
        <w:rPr>
          <w:rFonts w:eastAsia="Times New Roman"/>
          <w:color w:val="000000"/>
          <w:lang w:val="de-AT" w:eastAsia="de-AT"/>
        </w:rPr>
        <w:t xml:space="preserve">Ansätze </w:t>
      </w:r>
      <w:r w:rsidR="009E1F80">
        <w:rPr>
          <w:rFonts w:eastAsia="Times New Roman"/>
          <w:color w:val="000000"/>
          <w:lang w:val="de-AT" w:eastAsia="de-AT"/>
        </w:rPr>
        <w:t xml:space="preserve">hat sich für einzelne Tumorentitäten die Prognose auch nach Auftreten von Hirnmetastasen drastisch </w:t>
      </w:r>
      <w:r w:rsidR="00FE3114">
        <w:rPr>
          <w:rFonts w:eastAsia="Times New Roman"/>
          <w:color w:val="000000"/>
          <w:lang w:val="de-AT" w:eastAsia="de-AT"/>
        </w:rPr>
        <w:t>verbessert</w:t>
      </w:r>
      <w:r w:rsidR="009E1F80">
        <w:rPr>
          <w:rFonts w:eastAsia="Times New Roman"/>
          <w:color w:val="000000"/>
          <w:lang w:val="de-AT" w:eastAsia="de-AT"/>
        </w:rPr>
        <w:t xml:space="preserve">. </w:t>
      </w:r>
      <w:r>
        <w:rPr>
          <w:rFonts w:eastAsia="Times New Roman"/>
          <w:color w:val="000000"/>
          <w:lang w:val="de-AT" w:eastAsia="de-AT"/>
        </w:rPr>
        <w:t xml:space="preserve">Durch die zunehmende Implementierung molekularer Faktoren in die Therapieentscheidung hat </w:t>
      </w:r>
      <w:r w:rsidR="00FE3114">
        <w:rPr>
          <w:rFonts w:eastAsia="Times New Roman"/>
          <w:color w:val="000000"/>
          <w:lang w:val="de-AT" w:eastAsia="de-AT"/>
        </w:rPr>
        <w:t xml:space="preserve">aber auch </w:t>
      </w:r>
      <w:r>
        <w:rPr>
          <w:rFonts w:eastAsia="Times New Roman"/>
          <w:color w:val="000000"/>
          <w:lang w:val="de-AT" w:eastAsia="de-AT"/>
        </w:rPr>
        <w:t xml:space="preserve">die Behandlung auch von Hirnmetastasen an Komplexität </w:t>
      </w:r>
      <w:r w:rsidR="00DF1FF3">
        <w:rPr>
          <w:rFonts w:eastAsia="Times New Roman"/>
          <w:color w:val="000000"/>
          <w:lang w:val="de-AT" w:eastAsia="de-AT"/>
        </w:rPr>
        <w:t>deutlich</w:t>
      </w:r>
      <w:r w:rsidR="00FE3114">
        <w:rPr>
          <w:rFonts w:eastAsia="Times New Roman"/>
          <w:color w:val="000000"/>
          <w:lang w:val="de-AT" w:eastAsia="de-AT"/>
        </w:rPr>
        <w:t xml:space="preserve"> </w:t>
      </w:r>
      <w:r>
        <w:rPr>
          <w:rFonts w:eastAsia="Times New Roman"/>
          <w:color w:val="000000"/>
          <w:lang w:val="de-AT" w:eastAsia="de-AT"/>
        </w:rPr>
        <w:t>zugenommen.</w:t>
      </w:r>
      <w:r w:rsidR="001410BF">
        <w:rPr>
          <w:rFonts w:eastAsia="Times New Roman"/>
          <w:color w:val="000000"/>
          <w:lang w:val="de-AT" w:eastAsia="de-AT"/>
        </w:rPr>
        <w:t xml:space="preserve"> </w:t>
      </w:r>
      <w:r w:rsidR="00084BF0" w:rsidRPr="000F2811">
        <w:rPr>
          <w:rFonts w:eastAsia="Times New Roman"/>
          <w:color w:val="000000"/>
          <w:lang w:val="de-AT" w:eastAsia="de-AT"/>
        </w:rPr>
        <w:t xml:space="preserve">Umso bedeutsamer ist die enge interdisziplinäre Abstimmung der beteiligten Disziplinen mit einer Einbeziehung mehrdimensionaler Aspekte, welche eine Fachdisziplin alleine nicht vorhalten bzw. interpretieren kann. </w:t>
      </w:r>
      <w:r w:rsidR="000F2811">
        <w:rPr>
          <w:rFonts w:eastAsia="Times New Roman"/>
          <w:color w:val="000000"/>
          <w:lang w:val="de-AT" w:eastAsia="de-AT"/>
        </w:rPr>
        <w:t xml:space="preserve">Neben </w:t>
      </w:r>
      <w:r>
        <w:rPr>
          <w:rFonts w:eastAsia="Times New Roman"/>
          <w:color w:val="000000"/>
          <w:lang w:val="de-AT" w:eastAsia="de-AT"/>
        </w:rPr>
        <w:t xml:space="preserve">den rein onkologischen Parametern </w:t>
      </w:r>
      <w:r w:rsidR="009E1F80">
        <w:rPr>
          <w:rFonts w:eastAsia="Times New Roman"/>
          <w:color w:val="000000"/>
          <w:lang w:val="de-AT" w:eastAsia="de-AT"/>
        </w:rPr>
        <w:t xml:space="preserve">sind auch Aspekte wie die gesundheitsbezogene Lebensqualität und der Wunsch des </w:t>
      </w:r>
      <w:r>
        <w:rPr>
          <w:rFonts w:eastAsia="Times New Roman"/>
          <w:color w:val="000000"/>
          <w:lang w:val="de-AT" w:eastAsia="de-AT"/>
        </w:rPr>
        <w:t xml:space="preserve">Patienten </w:t>
      </w:r>
      <w:r w:rsidR="00FE3114">
        <w:rPr>
          <w:rFonts w:eastAsia="Times New Roman"/>
          <w:color w:val="000000"/>
          <w:lang w:val="de-AT" w:eastAsia="de-AT"/>
        </w:rPr>
        <w:t xml:space="preserve">in den letzten Jahren zunehmend </w:t>
      </w:r>
      <w:r>
        <w:rPr>
          <w:rFonts w:eastAsia="Times New Roman"/>
          <w:color w:val="000000"/>
          <w:lang w:val="de-AT" w:eastAsia="de-AT"/>
        </w:rPr>
        <w:t>in den Fokus gerückt. Ziel der Therapie ist</w:t>
      </w:r>
      <w:r w:rsidR="00FE3114">
        <w:rPr>
          <w:rFonts w:eastAsia="Times New Roman"/>
          <w:color w:val="000000"/>
          <w:lang w:val="de-AT" w:eastAsia="de-AT"/>
        </w:rPr>
        <w:t xml:space="preserve"> es daher</w:t>
      </w:r>
      <w:r>
        <w:rPr>
          <w:rFonts w:eastAsia="Times New Roman"/>
          <w:color w:val="000000"/>
          <w:lang w:val="de-AT" w:eastAsia="de-AT"/>
        </w:rPr>
        <w:t xml:space="preserve">, eine Lebensverlängerung bei einer möglichst hohen Lebensqualität zu erwirken und zugleich die zerebrale Behandlung optimal auf die Situation des einzelnen Patienten anzupassen. </w:t>
      </w:r>
    </w:p>
    <w:p w14:paraId="4690D5FE" w14:textId="77777777" w:rsidR="002D7220" w:rsidRPr="002D7220" w:rsidRDefault="002D7220" w:rsidP="002D7220">
      <w:pPr>
        <w:pStyle w:val="Normal"/>
        <w:spacing w:after="200" w:line="360" w:lineRule="auto"/>
        <w:jc w:val="both"/>
        <w:rPr>
          <w:lang w:val="de-AT" w:eastAsia="de-AT"/>
        </w:rPr>
      </w:pPr>
      <w:r w:rsidRPr="002D7220">
        <w:rPr>
          <w:lang w:val="de-AT" w:eastAsia="de-AT"/>
        </w:rPr>
        <w:t xml:space="preserve">Dies führt im Alltag zunehmend zu einer ineinandergreifenden oder gar simultanen Beteiligung mehrerer Fachdisziplinen an der Behandlung von Hirnmetastasen mit einer variierenden Abfolge oder auch einem ineinandergreifen von Systemtherapie, Operation und Radiotherapie und Palliativmedizin. </w:t>
      </w:r>
    </w:p>
    <w:p w14:paraId="464DB23B" w14:textId="61C40A33" w:rsidR="009E1F80" w:rsidRDefault="009E1F80" w:rsidP="002D6BC8">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Pr>
          <w:rFonts w:eastAsia="Times New Roman"/>
          <w:color w:val="000000"/>
          <w:lang w:val="de-AT" w:eastAsia="de-AT"/>
        </w:rPr>
        <w:t xml:space="preserve">Um </w:t>
      </w:r>
      <w:r w:rsidR="00FE3114">
        <w:rPr>
          <w:rFonts w:eastAsia="Times New Roman"/>
          <w:color w:val="000000"/>
          <w:lang w:val="de-AT" w:eastAsia="de-AT"/>
        </w:rPr>
        <w:t>diesen</w:t>
      </w:r>
      <w:r>
        <w:rPr>
          <w:rFonts w:eastAsia="Times New Roman"/>
          <w:color w:val="000000"/>
          <w:lang w:val="de-AT" w:eastAsia="de-AT"/>
        </w:rPr>
        <w:t xml:space="preserve"> vielfältigen Aspekten </w:t>
      </w:r>
      <w:r w:rsidR="00767A7C">
        <w:rPr>
          <w:rFonts w:eastAsia="Times New Roman"/>
          <w:color w:val="000000"/>
          <w:lang w:val="de-AT" w:eastAsia="de-AT"/>
        </w:rPr>
        <w:t xml:space="preserve">eines umfassenden Behandlungskonzeptes </w:t>
      </w:r>
      <w:r>
        <w:rPr>
          <w:rFonts w:eastAsia="Times New Roman"/>
          <w:color w:val="000000"/>
          <w:lang w:val="de-AT" w:eastAsia="de-AT"/>
        </w:rPr>
        <w:t xml:space="preserve">Rechnung zu tragen, ist eine enge und strukturierte Kommunikation der beteiligten Behandler unerlässlich, welche im Alltag über die Fallerörterung im Rahmen eines Tumorboards deutlich hinausgeht. </w:t>
      </w:r>
      <w:r w:rsidR="00767A7C">
        <w:rPr>
          <w:rFonts w:eastAsia="Times New Roman"/>
          <w:color w:val="000000"/>
          <w:lang w:val="de-AT" w:eastAsia="de-AT"/>
        </w:rPr>
        <w:t>So</w:t>
      </w:r>
      <w:r w:rsidR="00FE3114">
        <w:rPr>
          <w:rFonts w:eastAsia="Times New Roman"/>
          <w:color w:val="000000"/>
          <w:lang w:val="de-AT" w:eastAsia="de-AT"/>
        </w:rPr>
        <w:t>mit</w:t>
      </w:r>
      <w:r w:rsidR="00767A7C">
        <w:rPr>
          <w:rFonts w:eastAsia="Times New Roman"/>
          <w:color w:val="000000"/>
          <w:lang w:val="de-AT" w:eastAsia="de-AT"/>
        </w:rPr>
        <w:t xml:space="preserve"> ist</w:t>
      </w:r>
      <w:r w:rsidR="00FE3114">
        <w:rPr>
          <w:rFonts w:eastAsia="Times New Roman"/>
          <w:color w:val="000000"/>
          <w:lang w:val="de-AT" w:eastAsia="de-AT"/>
        </w:rPr>
        <w:t xml:space="preserve"> z.B. auch </w:t>
      </w:r>
      <w:r w:rsidR="00767A7C">
        <w:rPr>
          <w:rFonts w:eastAsia="Times New Roman"/>
          <w:color w:val="000000"/>
          <w:lang w:val="de-AT" w:eastAsia="de-AT"/>
        </w:rPr>
        <w:t xml:space="preserve">das </w:t>
      </w:r>
      <w:r w:rsidR="00FE3114">
        <w:rPr>
          <w:rFonts w:eastAsia="Times New Roman"/>
          <w:color w:val="000000"/>
          <w:lang w:val="de-AT" w:eastAsia="de-AT"/>
        </w:rPr>
        <w:t xml:space="preserve">ausführliche, </w:t>
      </w:r>
      <w:r w:rsidR="00767A7C">
        <w:rPr>
          <w:rFonts w:eastAsia="Times New Roman"/>
          <w:color w:val="000000"/>
          <w:lang w:val="de-AT" w:eastAsia="de-AT"/>
        </w:rPr>
        <w:t xml:space="preserve">beratende Gespräch für den Patienten bei mehreren möglichen, teils </w:t>
      </w:r>
      <w:r w:rsidR="00FE3114">
        <w:rPr>
          <w:rFonts w:eastAsia="Times New Roman"/>
          <w:color w:val="000000"/>
          <w:lang w:val="de-AT" w:eastAsia="de-AT"/>
        </w:rPr>
        <w:t>interagierenden</w:t>
      </w:r>
      <w:r w:rsidR="00767A7C">
        <w:rPr>
          <w:rFonts w:eastAsia="Times New Roman"/>
          <w:color w:val="000000"/>
          <w:lang w:val="de-AT" w:eastAsia="de-AT"/>
        </w:rPr>
        <w:t xml:space="preserve"> Therapieoptionen </w:t>
      </w:r>
      <w:r w:rsidR="00FE3114">
        <w:rPr>
          <w:rFonts w:eastAsia="Times New Roman"/>
          <w:color w:val="000000"/>
          <w:lang w:val="de-AT" w:eastAsia="de-AT"/>
        </w:rPr>
        <w:t xml:space="preserve">essentiell, optimaler Weise unter persönlicher Einbindung der Fachvertreter. </w:t>
      </w:r>
    </w:p>
    <w:p w14:paraId="2B88A063" w14:textId="3A8868DC" w:rsidR="005F78C9" w:rsidRDefault="009E1F80" w:rsidP="00FE311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Pr>
          <w:rFonts w:eastAsia="Times New Roman"/>
          <w:color w:val="000000"/>
          <w:lang w:val="de-AT" w:eastAsia="de-AT"/>
        </w:rPr>
        <w:t>Unter Betrachtung der veränderten Therapieansätze der letzten Dekaden ist ein individualisiertes Behandlungskonzept für Patienten mit Hirnmetastasen</w:t>
      </w:r>
      <w:r w:rsidR="00FE3114">
        <w:rPr>
          <w:rFonts w:eastAsia="Times New Roman"/>
          <w:color w:val="000000"/>
          <w:lang w:val="de-AT" w:eastAsia="de-AT"/>
        </w:rPr>
        <w:t xml:space="preserve"> in entsprechenden Zentren</w:t>
      </w:r>
      <w:r>
        <w:rPr>
          <w:rFonts w:eastAsia="Times New Roman"/>
          <w:color w:val="000000"/>
          <w:lang w:val="de-AT" w:eastAsia="de-AT"/>
        </w:rPr>
        <w:t xml:space="preserve"> bereits Realität. Im Kontext der dynamischen Entwicklung neuer systemischer Behandlungsansätze ist ein Verlust des negativen Attributs von Hirnmetastasen als per se finale Phase einer Tumorerkrankung zu erhoffen. </w:t>
      </w:r>
    </w:p>
    <w:p w14:paraId="1E2BA54D" w14:textId="0B714B99" w:rsidR="004B408B" w:rsidRDefault="004B408B" w:rsidP="00FE311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p>
    <w:p w14:paraId="146DF125" w14:textId="36BFCEDB" w:rsidR="004B408B" w:rsidRDefault="004B408B" w:rsidP="00FE311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360" w:lineRule="auto"/>
        <w:jc w:val="both"/>
        <w:rPr>
          <w:rFonts w:eastAsia="Times New Roman"/>
          <w:color w:val="000000"/>
          <w:lang w:val="de-AT" w:eastAsia="de-AT"/>
        </w:rPr>
      </w:pPr>
      <w:r>
        <w:rPr>
          <w:rFonts w:eastAsia="Times New Roman"/>
          <w:color w:val="000000"/>
          <w:lang w:val="de-AT" w:eastAsia="de-AT"/>
        </w:rPr>
        <w:t>Literatur:</w:t>
      </w:r>
    </w:p>
    <w:p w14:paraId="128AE699" w14:textId="7E1926AD" w:rsidR="0042445A" w:rsidRPr="00B12C6F" w:rsidRDefault="004B408B" w:rsidP="0042445A">
      <w:pPr>
        <w:widowControl w:val="0"/>
        <w:autoSpaceDE w:val="0"/>
        <w:autoSpaceDN w:val="0"/>
        <w:adjustRightInd w:val="0"/>
        <w:spacing w:after="200" w:line="360" w:lineRule="auto"/>
        <w:ind w:left="640" w:hanging="640"/>
        <w:rPr>
          <w:rFonts w:ascii="Arial" w:hAnsi="Arial" w:cs="Arial"/>
          <w:noProof/>
          <w:sz w:val="24"/>
          <w:lang w:val="en-US"/>
        </w:rPr>
      </w:pPr>
      <w:r>
        <w:rPr>
          <w:rFonts w:eastAsia="Times New Roman"/>
          <w:color w:val="000000"/>
          <w:lang w:val="de-AT" w:eastAsia="de-AT"/>
        </w:rPr>
        <w:fldChar w:fldCharType="begin" w:fldLock="1"/>
      </w:r>
      <w:r>
        <w:rPr>
          <w:rFonts w:eastAsia="Times New Roman"/>
          <w:color w:val="000000"/>
          <w:lang w:val="de-AT" w:eastAsia="de-AT"/>
        </w:rPr>
        <w:instrText xml:space="preserve">ADDIN Mendeley Bibliography CSL_BIBLIOGRAPHY </w:instrText>
      </w:r>
      <w:r>
        <w:rPr>
          <w:rFonts w:eastAsia="Times New Roman"/>
          <w:color w:val="000000"/>
          <w:lang w:val="de-AT" w:eastAsia="de-AT"/>
        </w:rPr>
        <w:fldChar w:fldCharType="separate"/>
      </w:r>
      <w:r w:rsidR="0042445A" w:rsidRPr="0042445A">
        <w:rPr>
          <w:rFonts w:ascii="Arial" w:hAnsi="Arial" w:cs="Arial"/>
          <w:noProof/>
          <w:sz w:val="24"/>
        </w:rPr>
        <w:t xml:space="preserve">1. </w:t>
      </w:r>
      <w:r w:rsidR="0042445A" w:rsidRPr="0042445A">
        <w:rPr>
          <w:rFonts w:ascii="Arial" w:hAnsi="Arial" w:cs="Arial"/>
          <w:noProof/>
          <w:sz w:val="24"/>
        </w:rPr>
        <w:tab/>
        <w:t xml:space="preserve">Deuschl C, Nensa F, Grueneisen J, et al. </w:t>
      </w:r>
      <w:r w:rsidR="0042445A" w:rsidRPr="00B12C6F">
        <w:rPr>
          <w:rFonts w:ascii="Arial" w:hAnsi="Arial" w:cs="Arial"/>
          <w:noProof/>
          <w:sz w:val="24"/>
          <w:lang w:val="en-US"/>
        </w:rPr>
        <w:t xml:space="preserve">Diagnostic impact of integrated 18F-FDG PET/MRI in cerebral staging of patients with non-small cell lung cancer. </w:t>
      </w:r>
      <w:r w:rsidR="0042445A" w:rsidRPr="00B12C6F">
        <w:rPr>
          <w:rFonts w:ascii="Arial" w:hAnsi="Arial" w:cs="Arial"/>
          <w:i/>
          <w:iCs/>
          <w:noProof/>
          <w:sz w:val="24"/>
          <w:lang w:val="en-US"/>
        </w:rPr>
        <w:t>Acta radiol</w:t>
      </w:r>
      <w:r w:rsidR="0042445A" w:rsidRPr="00B12C6F">
        <w:rPr>
          <w:rFonts w:ascii="Arial" w:hAnsi="Arial" w:cs="Arial"/>
          <w:noProof/>
          <w:sz w:val="24"/>
          <w:lang w:val="en-US"/>
        </w:rPr>
        <w:t>. 2017;58(8):991-996. doi:10.1177/0284185116681041</w:t>
      </w:r>
    </w:p>
    <w:p w14:paraId="75BD2BC2"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2. </w:t>
      </w:r>
      <w:r w:rsidRPr="00B12C6F">
        <w:rPr>
          <w:rFonts w:ascii="Arial" w:hAnsi="Arial" w:cs="Arial"/>
          <w:noProof/>
          <w:sz w:val="24"/>
          <w:lang w:val="en-US"/>
        </w:rPr>
        <w:tab/>
        <w:t xml:space="preserve">Wolpert F, Weller M, Berghoff AS, et al. Diagnostic value of 18F-fluordesoxyglucose positron emission tomography for patients with brain metastasis from unknown primary site. </w:t>
      </w:r>
      <w:r w:rsidRPr="00B12C6F">
        <w:rPr>
          <w:rFonts w:ascii="Arial" w:hAnsi="Arial" w:cs="Arial"/>
          <w:i/>
          <w:iCs/>
          <w:noProof/>
          <w:sz w:val="24"/>
          <w:lang w:val="en-US"/>
        </w:rPr>
        <w:t>Eur J Cancer</w:t>
      </w:r>
      <w:r w:rsidRPr="00B12C6F">
        <w:rPr>
          <w:rFonts w:ascii="Arial" w:hAnsi="Arial" w:cs="Arial"/>
          <w:noProof/>
          <w:sz w:val="24"/>
          <w:lang w:val="en-US"/>
        </w:rPr>
        <w:t>. 2018;96:64-72. doi:10.1016/j.ejca.2018.03.010</w:t>
      </w:r>
    </w:p>
    <w:p w14:paraId="7544A9CF"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 </w:t>
      </w:r>
      <w:r w:rsidRPr="00B12C6F">
        <w:rPr>
          <w:rFonts w:ascii="Arial" w:hAnsi="Arial" w:cs="Arial"/>
          <w:noProof/>
          <w:sz w:val="24"/>
          <w:lang w:val="en-US"/>
        </w:rPr>
        <w:tab/>
        <w:t xml:space="preserve">Galldiks N, Langen KJ, Albert NL, et al. PET imaging in patients with brain metastasis—report of the RANO/PET group. </w:t>
      </w:r>
      <w:r w:rsidRPr="00B12C6F">
        <w:rPr>
          <w:rFonts w:ascii="Arial" w:hAnsi="Arial" w:cs="Arial"/>
          <w:i/>
          <w:iCs/>
          <w:noProof/>
          <w:sz w:val="24"/>
          <w:lang w:val="en-US"/>
        </w:rPr>
        <w:t>Neuro Oncol</w:t>
      </w:r>
      <w:r w:rsidRPr="00B12C6F">
        <w:rPr>
          <w:rFonts w:ascii="Arial" w:hAnsi="Arial" w:cs="Arial"/>
          <w:noProof/>
          <w:sz w:val="24"/>
          <w:lang w:val="en-US"/>
        </w:rPr>
        <w:t>. 2019;21(5):584-595. doi:10.1093/neuonc/noz003</w:t>
      </w:r>
    </w:p>
    <w:p w14:paraId="66335F9C"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4. </w:t>
      </w:r>
      <w:r w:rsidRPr="00B12C6F">
        <w:rPr>
          <w:rFonts w:ascii="Arial" w:hAnsi="Arial" w:cs="Arial"/>
          <w:noProof/>
          <w:sz w:val="24"/>
          <w:lang w:val="en-US"/>
        </w:rPr>
        <w:tab/>
        <w:t xml:space="preserve">Ceccon G, Lohmann P, Stoffels G, et al. Dynamic O-(2-18F-fluoroethyl)-L-tyrosine positron emission tomography differentiates brain metastasis recurrence from radiation injury after radiotherapy. </w:t>
      </w:r>
      <w:r w:rsidRPr="00B12C6F">
        <w:rPr>
          <w:rFonts w:ascii="Arial" w:hAnsi="Arial" w:cs="Arial"/>
          <w:i/>
          <w:iCs/>
          <w:noProof/>
          <w:sz w:val="24"/>
          <w:lang w:val="en-US"/>
        </w:rPr>
        <w:t>Neuro Oncol</w:t>
      </w:r>
      <w:r w:rsidRPr="00B12C6F">
        <w:rPr>
          <w:rFonts w:ascii="Arial" w:hAnsi="Arial" w:cs="Arial"/>
          <w:noProof/>
          <w:sz w:val="24"/>
          <w:lang w:val="en-US"/>
        </w:rPr>
        <w:t>. 2017;19(2):281-288. doi:10.1093/neuonc/now149</w:t>
      </w:r>
    </w:p>
    <w:p w14:paraId="5BE7D5C9"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5. </w:t>
      </w:r>
      <w:r w:rsidRPr="00B12C6F">
        <w:rPr>
          <w:rFonts w:ascii="Arial" w:hAnsi="Arial" w:cs="Arial"/>
          <w:noProof/>
          <w:sz w:val="24"/>
          <w:lang w:val="en-US"/>
        </w:rPr>
        <w:tab/>
        <w:t xml:space="preserve">Cicone F, Minniti G, Romano A, et al. Accuracy of F-DOPA PET and perfusion-MRI for differentiating radionecrotic from progressive brain metastases after radiosurgery. </w:t>
      </w:r>
      <w:r w:rsidRPr="00B12C6F">
        <w:rPr>
          <w:rFonts w:ascii="Arial" w:hAnsi="Arial" w:cs="Arial"/>
          <w:i/>
          <w:iCs/>
          <w:noProof/>
          <w:sz w:val="24"/>
          <w:lang w:val="en-US"/>
        </w:rPr>
        <w:t>Eur J Nucl Med Mol Imaging</w:t>
      </w:r>
      <w:r w:rsidRPr="00B12C6F">
        <w:rPr>
          <w:rFonts w:ascii="Arial" w:hAnsi="Arial" w:cs="Arial"/>
          <w:noProof/>
          <w:sz w:val="24"/>
          <w:lang w:val="en-US"/>
        </w:rPr>
        <w:t>. 2015;42(1):103-111. doi:10.1007/s00259-014-2886-4</w:t>
      </w:r>
    </w:p>
    <w:p w14:paraId="6801725C"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6. </w:t>
      </w:r>
      <w:r w:rsidRPr="00B12C6F">
        <w:rPr>
          <w:rFonts w:ascii="Arial" w:hAnsi="Arial" w:cs="Arial"/>
          <w:noProof/>
          <w:sz w:val="24"/>
          <w:lang w:val="en-US"/>
        </w:rPr>
        <w:tab/>
        <w:t xml:space="preserve">Minamimoto R, Saginoya T, Kondo C, et al. Differentiation of brain tumor recurrence from post-radiotherapy necrosis with 11C-methionine PET: Visual assessment versus quantitative assessment. </w:t>
      </w:r>
      <w:r w:rsidRPr="00B12C6F">
        <w:rPr>
          <w:rFonts w:ascii="Arial" w:hAnsi="Arial" w:cs="Arial"/>
          <w:i/>
          <w:iCs/>
          <w:noProof/>
          <w:sz w:val="24"/>
          <w:lang w:val="en-US"/>
        </w:rPr>
        <w:t>PLoS One</w:t>
      </w:r>
      <w:r w:rsidRPr="00B12C6F">
        <w:rPr>
          <w:rFonts w:ascii="Arial" w:hAnsi="Arial" w:cs="Arial"/>
          <w:noProof/>
          <w:sz w:val="24"/>
          <w:lang w:val="en-US"/>
        </w:rPr>
        <w:t>. 2015;10(7). doi:10.1371/journal.pone.0132515</w:t>
      </w:r>
    </w:p>
    <w:p w14:paraId="1A8D144F"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7. </w:t>
      </w:r>
      <w:r w:rsidRPr="00B12C6F">
        <w:rPr>
          <w:rFonts w:ascii="Arial" w:hAnsi="Arial" w:cs="Arial"/>
          <w:noProof/>
          <w:sz w:val="24"/>
          <w:lang w:val="en-US"/>
        </w:rPr>
        <w:tab/>
        <w:t xml:space="preserve">Kebir S, Rauschenbach L, Galldiks N, et al. Dynamic O-(2-[18F]fluoroethyl)-L-tyrosine PET imaging for the detection of checkpoint inhibitor-related pseudoprogression in melanoma brain metastases. </w:t>
      </w:r>
      <w:r w:rsidRPr="00B12C6F">
        <w:rPr>
          <w:rFonts w:ascii="Arial" w:hAnsi="Arial" w:cs="Arial"/>
          <w:i/>
          <w:iCs/>
          <w:noProof/>
          <w:sz w:val="24"/>
          <w:lang w:val="en-US"/>
        </w:rPr>
        <w:t>Neuro Oncol</w:t>
      </w:r>
      <w:r w:rsidRPr="00B12C6F">
        <w:rPr>
          <w:rFonts w:ascii="Arial" w:hAnsi="Arial" w:cs="Arial"/>
          <w:noProof/>
          <w:sz w:val="24"/>
          <w:lang w:val="en-US"/>
        </w:rPr>
        <w:t>. 2016;18(10):1462-1464. doi:10.1093/neuonc/now154</w:t>
      </w:r>
    </w:p>
    <w:p w14:paraId="3150C8DB" w14:textId="77777777" w:rsidR="0042445A" w:rsidRPr="0042445A" w:rsidRDefault="0042445A" w:rsidP="0042445A">
      <w:pPr>
        <w:widowControl w:val="0"/>
        <w:autoSpaceDE w:val="0"/>
        <w:autoSpaceDN w:val="0"/>
        <w:adjustRightInd w:val="0"/>
        <w:spacing w:after="200" w:line="360" w:lineRule="auto"/>
        <w:ind w:left="640" w:hanging="640"/>
        <w:rPr>
          <w:rFonts w:ascii="Arial" w:hAnsi="Arial" w:cs="Arial"/>
          <w:noProof/>
          <w:sz w:val="24"/>
        </w:rPr>
      </w:pPr>
      <w:r w:rsidRPr="00B12C6F">
        <w:rPr>
          <w:rFonts w:ascii="Arial" w:hAnsi="Arial" w:cs="Arial"/>
          <w:noProof/>
          <w:sz w:val="24"/>
          <w:lang w:val="en-US"/>
        </w:rPr>
        <w:t xml:space="preserve">8. </w:t>
      </w:r>
      <w:r w:rsidRPr="00B12C6F">
        <w:rPr>
          <w:rFonts w:ascii="Arial" w:hAnsi="Arial" w:cs="Arial"/>
          <w:noProof/>
          <w:sz w:val="24"/>
          <w:lang w:val="en-US"/>
        </w:rPr>
        <w:tab/>
        <w:t xml:space="preserve">Abdulla DSY, Scheffler M, Brandes V, et al. Monitoring Treatment Response to Erlotinib in EGFR-mutated Non–small-cell Lung Cancer Brain Metastases Using Serial O-(2-[ 18 F]fluoroethyl)-L-tyrosine PET. </w:t>
      </w:r>
      <w:r w:rsidRPr="0042445A">
        <w:rPr>
          <w:rFonts w:ascii="Arial" w:hAnsi="Arial" w:cs="Arial"/>
          <w:i/>
          <w:iCs/>
          <w:noProof/>
          <w:sz w:val="24"/>
        </w:rPr>
        <w:t>Clin Lung Cancer</w:t>
      </w:r>
      <w:r w:rsidRPr="0042445A">
        <w:rPr>
          <w:rFonts w:ascii="Arial" w:hAnsi="Arial" w:cs="Arial"/>
          <w:noProof/>
          <w:sz w:val="24"/>
        </w:rPr>
        <w:t>. 2019;20(2):e148-e151. doi:10.1016/j.cllc.2018.10.011</w:t>
      </w:r>
    </w:p>
    <w:p w14:paraId="03364F35"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42445A">
        <w:rPr>
          <w:rFonts w:ascii="Arial" w:hAnsi="Arial" w:cs="Arial"/>
          <w:noProof/>
          <w:sz w:val="24"/>
        </w:rPr>
        <w:t xml:space="preserve">9. </w:t>
      </w:r>
      <w:r w:rsidRPr="0042445A">
        <w:rPr>
          <w:rFonts w:ascii="Arial" w:hAnsi="Arial" w:cs="Arial"/>
          <w:noProof/>
          <w:sz w:val="24"/>
        </w:rPr>
        <w:tab/>
        <w:t xml:space="preserve">Galldiks N, Abdulla DS, Scheffler M, et al. </w:t>
      </w:r>
      <w:r w:rsidRPr="00B12C6F">
        <w:rPr>
          <w:rFonts w:ascii="Arial" w:hAnsi="Arial" w:cs="Arial"/>
          <w:noProof/>
          <w:sz w:val="24"/>
          <w:lang w:val="en-US"/>
        </w:rPr>
        <w:t xml:space="preserve">Treatment Monitoring of Immunotherapy and Targeted Therapy using 18F-FET PET in Patients with Melanoma and Lung Cancer Brain Metastases: Initial Experiences. </w:t>
      </w:r>
      <w:r w:rsidRPr="00B12C6F">
        <w:rPr>
          <w:rFonts w:ascii="Arial" w:hAnsi="Arial" w:cs="Arial"/>
          <w:i/>
          <w:iCs/>
          <w:noProof/>
          <w:sz w:val="24"/>
          <w:lang w:val="en-US"/>
        </w:rPr>
        <w:t>J Nucl Med</w:t>
      </w:r>
      <w:r w:rsidRPr="00B12C6F">
        <w:rPr>
          <w:rFonts w:ascii="Arial" w:hAnsi="Arial" w:cs="Arial"/>
          <w:noProof/>
          <w:sz w:val="24"/>
          <w:lang w:val="en-US"/>
        </w:rPr>
        <w:t>. September 2020:jnumed.120.248278. doi:10.2967/jnumed.120.248278</w:t>
      </w:r>
    </w:p>
    <w:p w14:paraId="558948F8"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10. </w:t>
      </w:r>
      <w:r w:rsidRPr="00B12C6F">
        <w:rPr>
          <w:rFonts w:ascii="Arial" w:hAnsi="Arial" w:cs="Arial"/>
          <w:noProof/>
          <w:sz w:val="24"/>
          <w:lang w:val="en-US"/>
        </w:rPr>
        <w:tab/>
        <w:t xml:space="preserve">Patchell RA, Tibbs PA, Walsh JW, et al. A randomized trial of surgery in the treatment of single metastases to the brain. </w:t>
      </w:r>
      <w:r w:rsidRPr="00B12C6F">
        <w:rPr>
          <w:rFonts w:ascii="Arial" w:hAnsi="Arial" w:cs="Arial"/>
          <w:i/>
          <w:iCs/>
          <w:noProof/>
          <w:sz w:val="24"/>
          <w:lang w:val="en-US"/>
        </w:rPr>
        <w:t>N Engl J Med</w:t>
      </w:r>
      <w:r w:rsidRPr="00B12C6F">
        <w:rPr>
          <w:rFonts w:ascii="Arial" w:hAnsi="Arial" w:cs="Arial"/>
          <w:noProof/>
          <w:sz w:val="24"/>
          <w:lang w:val="en-US"/>
        </w:rPr>
        <w:t>. 1990;322(8):494-500. doi:10.1056/NEJM199002223220802</w:t>
      </w:r>
    </w:p>
    <w:p w14:paraId="0EC12C17"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11. </w:t>
      </w:r>
      <w:r w:rsidRPr="00B12C6F">
        <w:rPr>
          <w:rFonts w:ascii="Arial" w:hAnsi="Arial" w:cs="Arial"/>
          <w:noProof/>
          <w:sz w:val="24"/>
          <w:lang w:val="en-US"/>
        </w:rPr>
        <w:tab/>
        <w:t xml:space="preserve">Schödel P, Schebesch K-M, Brawanski A, Proescholdt M. Surgical Resection of Brain Metastases—Impact on Neurological Outcome. </w:t>
      </w:r>
      <w:r w:rsidRPr="00B12C6F">
        <w:rPr>
          <w:rFonts w:ascii="Arial" w:hAnsi="Arial" w:cs="Arial"/>
          <w:i/>
          <w:iCs/>
          <w:noProof/>
          <w:sz w:val="24"/>
          <w:lang w:val="en-US"/>
        </w:rPr>
        <w:t>Int J Mol Sci</w:t>
      </w:r>
      <w:r w:rsidRPr="00B12C6F">
        <w:rPr>
          <w:rFonts w:ascii="Arial" w:hAnsi="Arial" w:cs="Arial"/>
          <w:noProof/>
          <w:sz w:val="24"/>
          <w:lang w:val="en-US"/>
        </w:rPr>
        <w:t>. 2013;14(5):8708-8718. doi:10.3390/ijms14058708</w:t>
      </w:r>
    </w:p>
    <w:p w14:paraId="23C5183E"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12. </w:t>
      </w:r>
      <w:r w:rsidRPr="00B12C6F">
        <w:rPr>
          <w:rFonts w:ascii="Arial" w:hAnsi="Arial" w:cs="Arial"/>
          <w:noProof/>
          <w:sz w:val="24"/>
          <w:lang w:val="en-US"/>
        </w:rPr>
        <w:tab/>
        <w:t xml:space="preserve">Schödel P, Jünger ST, Wittersheim M, et al. Surgical resection of symptomatic brain metastases improves the clinical status and facilitates further treatment. </w:t>
      </w:r>
      <w:r w:rsidRPr="00B12C6F">
        <w:rPr>
          <w:rFonts w:ascii="Arial" w:hAnsi="Arial" w:cs="Arial"/>
          <w:i/>
          <w:iCs/>
          <w:noProof/>
          <w:sz w:val="24"/>
          <w:lang w:val="en-US"/>
        </w:rPr>
        <w:t>Cancer Med</w:t>
      </w:r>
      <w:r w:rsidRPr="00B12C6F">
        <w:rPr>
          <w:rFonts w:ascii="Arial" w:hAnsi="Arial" w:cs="Arial"/>
          <w:noProof/>
          <w:sz w:val="24"/>
          <w:lang w:val="en-US"/>
        </w:rPr>
        <w:t>. August 2020. doi:10.1002/cam4.3402</w:t>
      </w:r>
    </w:p>
    <w:p w14:paraId="5B3FCA9A"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13. </w:t>
      </w:r>
      <w:r w:rsidRPr="00B12C6F">
        <w:rPr>
          <w:rFonts w:ascii="Arial" w:hAnsi="Arial" w:cs="Arial"/>
          <w:noProof/>
          <w:sz w:val="24"/>
          <w:lang w:val="en-US"/>
        </w:rPr>
        <w:tab/>
        <w:t xml:space="preserve">Gaspar L, Scott C, Rotman M, et al. Recursive partitioning analysis (RPA) of prognostic factors in three Radiation Therapy Oncology Group (RTOG) brain metastases trials. </w:t>
      </w:r>
      <w:r w:rsidRPr="00B12C6F">
        <w:rPr>
          <w:rFonts w:ascii="Arial" w:hAnsi="Arial" w:cs="Arial"/>
          <w:i/>
          <w:iCs/>
          <w:noProof/>
          <w:sz w:val="24"/>
          <w:lang w:val="en-US"/>
        </w:rPr>
        <w:t>Int J Radiat Oncol Biol Phys</w:t>
      </w:r>
      <w:r w:rsidRPr="00B12C6F">
        <w:rPr>
          <w:rFonts w:ascii="Arial" w:hAnsi="Arial" w:cs="Arial"/>
          <w:noProof/>
          <w:sz w:val="24"/>
          <w:lang w:val="en-US"/>
        </w:rPr>
        <w:t>. 1997;37(4):745-751. http://www.ncbi.nlm.nih.gov/pubmed/9128946. Accessed April 18, 2018.</w:t>
      </w:r>
    </w:p>
    <w:p w14:paraId="394C6C1C"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14. </w:t>
      </w:r>
      <w:r w:rsidRPr="00B12C6F">
        <w:rPr>
          <w:rFonts w:ascii="Arial" w:hAnsi="Arial" w:cs="Arial"/>
          <w:noProof/>
          <w:sz w:val="24"/>
          <w:lang w:val="en-US"/>
        </w:rPr>
        <w:tab/>
        <w:t xml:space="preserve">Sperduto PW, Berkey B, Gaspar LE, Mehta M, Curran W. A New Prognostic Index and Comparison to Three Other Indices for Patients With Brain Metastases: An Analysis of 1,960 Patients in the RTOG Database. </w:t>
      </w:r>
      <w:r w:rsidRPr="00B12C6F">
        <w:rPr>
          <w:rFonts w:ascii="Arial" w:hAnsi="Arial" w:cs="Arial"/>
          <w:i/>
          <w:iCs/>
          <w:noProof/>
          <w:sz w:val="24"/>
          <w:lang w:val="en-US"/>
        </w:rPr>
        <w:t>Int J Radiat Oncol</w:t>
      </w:r>
      <w:r w:rsidRPr="00B12C6F">
        <w:rPr>
          <w:rFonts w:ascii="Arial" w:hAnsi="Arial" w:cs="Arial"/>
          <w:noProof/>
          <w:sz w:val="24"/>
          <w:lang w:val="en-US"/>
        </w:rPr>
        <w:t>. 2008;70(2):510-514. doi:10.1016/j.ijrobp.2007.06.074</w:t>
      </w:r>
    </w:p>
    <w:p w14:paraId="43DC32CE"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15. </w:t>
      </w:r>
      <w:r w:rsidRPr="00B12C6F">
        <w:rPr>
          <w:rFonts w:ascii="Arial" w:hAnsi="Arial" w:cs="Arial"/>
          <w:noProof/>
          <w:sz w:val="24"/>
          <w:lang w:val="en-US"/>
        </w:rPr>
        <w:tab/>
        <w:t xml:space="preserve">Lee C-H, Kim DG, Kim JW, et al. The role of surgical resection in the management of brain metastasis: a 17-year longitudinal study. </w:t>
      </w:r>
      <w:r w:rsidRPr="00B12C6F">
        <w:rPr>
          <w:rFonts w:ascii="Arial" w:hAnsi="Arial" w:cs="Arial"/>
          <w:i/>
          <w:iCs/>
          <w:noProof/>
          <w:sz w:val="24"/>
          <w:lang w:val="en-US"/>
        </w:rPr>
        <w:t>Acta Neurochir (Wien)</w:t>
      </w:r>
      <w:r w:rsidRPr="00B12C6F">
        <w:rPr>
          <w:rFonts w:ascii="Arial" w:hAnsi="Arial" w:cs="Arial"/>
          <w:noProof/>
          <w:sz w:val="24"/>
          <w:lang w:val="en-US"/>
        </w:rPr>
        <w:t>. 2013;155(3):389-397. doi:10.1007/s00701-013-1619-y</w:t>
      </w:r>
    </w:p>
    <w:p w14:paraId="7195F15C"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16. </w:t>
      </w:r>
      <w:r w:rsidRPr="00B12C6F">
        <w:rPr>
          <w:rFonts w:ascii="Arial" w:hAnsi="Arial" w:cs="Arial"/>
          <w:noProof/>
          <w:sz w:val="24"/>
          <w:lang w:val="en-US"/>
        </w:rPr>
        <w:tab/>
        <w:t xml:space="preserve">Paek SH, Audu PB, Sperling MR, Cho J, Andrews DW. Reevaluation of surgery for the treatment of brain metastases: review of 208 patients with single or multiple brain metastases treated at one institution with modern neurosurgical techniques. </w:t>
      </w:r>
      <w:r w:rsidRPr="00B12C6F">
        <w:rPr>
          <w:rFonts w:ascii="Arial" w:hAnsi="Arial" w:cs="Arial"/>
          <w:i/>
          <w:iCs/>
          <w:noProof/>
          <w:sz w:val="24"/>
          <w:lang w:val="en-US"/>
        </w:rPr>
        <w:t>Neurosurgery</w:t>
      </w:r>
      <w:r w:rsidRPr="00B12C6F">
        <w:rPr>
          <w:rFonts w:ascii="Arial" w:hAnsi="Arial" w:cs="Arial"/>
          <w:noProof/>
          <w:sz w:val="24"/>
          <w:lang w:val="en-US"/>
        </w:rPr>
        <w:t>. 2005;56(5):1021-1034; discussion 1021-34. http://www.ncbi.nlm.nih.gov/pubmed/15854250. Accessed June 18, 2019.</w:t>
      </w:r>
    </w:p>
    <w:p w14:paraId="20593F2D"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17. </w:t>
      </w:r>
      <w:r w:rsidRPr="00B12C6F">
        <w:rPr>
          <w:rFonts w:ascii="Arial" w:hAnsi="Arial" w:cs="Arial"/>
          <w:noProof/>
          <w:sz w:val="24"/>
          <w:lang w:val="en-US"/>
        </w:rPr>
        <w:tab/>
        <w:t xml:space="preserve">Kocher M, Soffietti R, Abacioglu U, et al. Adjuvant whole-brain radiotherapy versus observation after radiosurgery or surgical resection of one to three cerebral metastases: results of the EORTC 22952-26001 study. </w:t>
      </w:r>
      <w:r w:rsidRPr="00B12C6F">
        <w:rPr>
          <w:rFonts w:ascii="Arial" w:hAnsi="Arial" w:cs="Arial"/>
          <w:i/>
          <w:iCs/>
          <w:noProof/>
          <w:sz w:val="24"/>
          <w:lang w:val="en-US"/>
        </w:rPr>
        <w:t>J Clin Oncol</w:t>
      </w:r>
      <w:r w:rsidRPr="00B12C6F">
        <w:rPr>
          <w:rFonts w:ascii="Arial" w:hAnsi="Arial" w:cs="Arial"/>
          <w:noProof/>
          <w:sz w:val="24"/>
          <w:lang w:val="en-US"/>
        </w:rPr>
        <w:t>. 2011;29(2):134-141. doi:10.1200/JCO.2010.30.1655</w:t>
      </w:r>
    </w:p>
    <w:p w14:paraId="1AD9526E"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18. </w:t>
      </w:r>
      <w:r w:rsidRPr="00B12C6F">
        <w:rPr>
          <w:rFonts w:ascii="Arial" w:hAnsi="Arial" w:cs="Arial"/>
          <w:noProof/>
          <w:sz w:val="24"/>
          <w:lang w:val="en-US"/>
        </w:rPr>
        <w:tab/>
        <w:t xml:space="preserve">Sturm V, Kober B, Hover KH, et al. Stereotactic percutaneous single dose irradiation of brain metastases with a linear accelerator. </w:t>
      </w:r>
      <w:r w:rsidRPr="00B12C6F">
        <w:rPr>
          <w:rFonts w:ascii="Arial" w:hAnsi="Arial" w:cs="Arial"/>
          <w:i/>
          <w:iCs/>
          <w:noProof/>
          <w:sz w:val="24"/>
          <w:lang w:val="en-US"/>
        </w:rPr>
        <w:t>Int J Radiat Oncol Biol Phys</w:t>
      </w:r>
      <w:r w:rsidRPr="00B12C6F">
        <w:rPr>
          <w:rFonts w:ascii="Arial" w:hAnsi="Arial" w:cs="Arial"/>
          <w:noProof/>
          <w:sz w:val="24"/>
          <w:lang w:val="en-US"/>
        </w:rPr>
        <w:t>. 1987;13(2):279-282. doi:10.1016/0360-3016(87)90140-4</w:t>
      </w:r>
    </w:p>
    <w:p w14:paraId="1E3BF877"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19. </w:t>
      </w:r>
      <w:r w:rsidRPr="00B12C6F">
        <w:rPr>
          <w:rFonts w:ascii="Arial" w:hAnsi="Arial" w:cs="Arial"/>
          <w:noProof/>
          <w:sz w:val="24"/>
          <w:lang w:val="en-US"/>
        </w:rPr>
        <w:tab/>
        <w:t xml:space="preserve">Lehrer EJ, Peterson JL, Zaorsky NG, et al. Single versus Multifraction Stereotactic Radiosurgery for Large Brain Metastases: An International Meta-analysis of 24 Trials. </w:t>
      </w:r>
      <w:r w:rsidRPr="00B12C6F">
        <w:rPr>
          <w:rFonts w:ascii="Arial" w:hAnsi="Arial" w:cs="Arial"/>
          <w:i/>
          <w:iCs/>
          <w:noProof/>
          <w:sz w:val="24"/>
          <w:lang w:val="en-US"/>
        </w:rPr>
        <w:t>Int J Radiat Oncol Biol Phys</w:t>
      </w:r>
      <w:r w:rsidRPr="00B12C6F">
        <w:rPr>
          <w:rFonts w:ascii="Arial" w:hAnsi="Arial" w:cs="Arial"/>
          <w:noProof/>
          <w:sz w:val="24"/>
          <w:lang w:val="en-US"/>
        </w:rPr>
        <w:t>. 2019;103(3):618-630. doi:10.1016/j.ijrobp.2018.10.038</w:t>
      </w:r>
    </w:p>
    <w:p w14:paraId="7DB7B10A"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20. </w:t>
      </w:r>
      <w:r w:rsidRPr="00B12C6F">
        <w:rPr>
          <w:rFonts w:ascii="Arial" w:hAnsi="Arial" w:cs="Arial"/>
          <w:noProof/>
          <w:sz w:val="24"/>
          <w:lang w:val="en-US"/>
        </w:rPr>
        <w:tab/>
        <w:t xml:space="preserve">Prabhu RS, Miller KR, Asher AL, et al. Preoperative stereotactic radiosurgery before planned resection of brain metastases: updated analysis of efficacy and toxicity of a novel treatment paradigm. </w:t>
      </w:r>
      <w:r w:rsidRPr="00B12C6F">
        <w:rPr>
          <w:rFonts w:ascii="Arial" w:hAnsi="Arial" w:cs="Arial"/>
          <w:i/>
          <w:iCs/>
          <w:noProof/>
          <w:sz w:val="24"/>
          <w:lang w:val="en-US"/>
        </w:rPr>
        <w:t>J Neurosurg</w:t>
      </w:r>
      <w:r w:rsidRPr="00B12C6F">
        <w:rPr>
          <w:rFonts w:ascii="Arial" w:hAnsi="Arial" w:cs="Arial"/>
          <w:noProof/>
          <w:sz w:val="24"/>
          <w:lang w:val="en-US"/>
        </w:rPr>
        <w:t>. 2018;131(5):1-8. doi:10.3171/2018.7.JNS181293</w:t>
      </w:r>
    </w:p>
    <w:p w14:paraId="0B0FB53C" w14:textId="77777777" w:rsidR="0042445A" w:rsidRPr="0042445A" w:rsidRDefault="0042445A" w:rsidP="0042445A">
      <w:pPr>
        <w:widowControl w:val="0"/>
        <w:autoSpaceDE w:val="0"/>
        <w:autoSpaceDN w:val="0"/>
        <w:adjustRightInd w:val="0"/>
        <w:spacing w:after="200" w:line="360" w:lineRule="auto"/>
        <w:ind w:left="640" w:hanging="640"/>
        <w:rPr>
          <w:rFonts w:ascii="Arial" w:hAnsi="Arial" w:cs="Arial"/>
          <w:noProof/>
          <w:sz w:val="24"/>
        </w:rPr>
      </w:pPr>
      <w:r w:rsidRPr="00B12C6F">
        <w:rPr>
          <w:rFonts w:ascii="Arial" w:hAnsi="Arial" w:cs="Arial"/>
          <w:noProof/>
          <w:sz w:val="24"/>
          <w:lang w:val="en-US"/>
        </w:rPr>
        <w:t xml:space="preserve">21. </w:t>
      </w:r>
      <w:r w:rsidRPr="00B12C6F">
        <w:rPr>
          <w:rFonts w:ascii="Arial" w:hAnsi="Arial" w:cs="Arial"/>
          <w:noProof/>
          <w:sz w:val="24"/>
          <w:lang w:val="en-US"/>
        </w:rPr>
        <w:tab/>
        <w:t xml:space="preserve">Brown PD, Ballman K V., Cerhan JH, et al. Postoperative stereotactic radiosurgery compared with whole brain radiotherapy for resected metastatic brain disease (NCCTG N107C/CEC·3): a multicentre, randomised, controlled, phase 3 trial. </w:t>
      </w:r>
      <w:r w:rsidRPr="0042445A">
        <w:rPr>
          <w:rFonts w:ascii="Arial" w:hAnsi="Arial" w:cs="Arial"/>
          <w:i/>
          <w:iCs/>
          <w:noProof/>
          <w:sz w:val="24"/>
        </w:rPr>
        <w:t>Lancet Oncol</w:t>
      </w:r>
      <w:r w:rsidRPr="0042445A">
        <w:rPr>
          <w:rFonts w:ascii="Arial" w:hAnsi="Arial" w:cs="Arial"/>
          <w:noProof/>
          <w:sz w:val="24"/>
        </w:rPr>
        <w:t>. 2017;18(8):1049-1060. doi:10.1016/S1470-2045(17)30441-2</w:t>
      </w:r>
    </w:p>
    <w:p w14:paraId="74A88826"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42445A">
        <w:rPr>
          <w:rFonts w:ascii="Arial" w:hAnsi="Arial" w:cs="Arial"/>
          <w:noProof/>
          <w:sz w:val="24"/>
        </w:rPr>
        <w:t xml:space="preserve">22. </w:t>
      </w:r>
      <w:r w:rsidRPr="0042445A">
        <w:rPr>
          <w:rFonts w:ascii="Arial" w:hAnsi="Arial" w:cs="Arial"/>
          <w:noProof/>
          <w:sz w:val="24"/>
        </w:rPr>
        <w:tab/>
        <w:t xml:space="preserve">Specht HM, Kessel KA, Oechsner M, Meyer B, Zimmer C, Combs SE. HFSRT der Resektionshöhle bei Patienten mit Hirnmetastasen. </w:t>
      </w:r>
      <w:r w:rsidRPr="00B12C6F">
        <w:rPr>
          <w:rFonts w:ascii="Arial" w:hAnsi="Arial" w:cs="Arial"/>
          <w:i/>
          <w:iCs/>
          <w:noProof/>
          <w:sz w:val="24"/>
          <w:lang w:val="en-US"/>
        </w:rPr>
        <w:t>Strahlentherapie und Onkol</w:t>
      </w:r>
      <w:r w:rsidRPr="00B12C6F">
        <w:rPr>
          <w:rFonts w:ascii="Arial" w:hAnsi="Arial" w:cs="Arial"/>
          <w:noProof/>
          <w:sz w:val="24"/>
          <w:lang w:val="en-US"/>
        </w:rPr>
        <w:t>. 2016;192(6):368-376. doi:10.1007/s00066-016-0955-2</w:t>
      </w:r>
    </w:p>
    <w:p w14:paraId="007C1358" w14:textId="77777777" w:rsidR="0042445A" w:rsidRPr="0042445A" w:rsidRDefault="0042445A" w:rsidP="0042445A">
      <w:pPr>
        <w:widowControl w:val="0"/>
        <w:autoSpaceDE w:val="0"/>
        <w:autoSpaceDN w:val="0"/>
        <w:adjustRightInd w:val="0"/>
        <w:spacing w:after="200" w:line="360" w:lineRule="auto"/>
        <w:ind w:left="640" w:hanging="640"/>
        <w:rPr>
          <w:rFonts w:ascii="Arial" w:hAnsi="Arial" w:cs="Arial"/>
          <w:noProof/>
          <w:sz w:val="24"/>
        </w:rPr>
      </w:pPr>
      <w:r w:rsidRPr="00B12C6F">
        <w:rPr>
          <w:rFonts w:ascii="Arial" w:hAnsi="Arial" w:cs="Arial"/>
          <w:noProof/>
          <w:sz w:val="24"/>
          <w:lang w:val="en-US"/>
        </w:rPr>
        <w:t xml:space="preserve">23. </w:t>
      </w:r>
      <w:r w:rsidRPr="00B12C6F">
        <w:rPr>
          <w:rFonts w:ascii="Arial" w:hAnsi="Arial" w:cs="Arial"/>
          <w:noProof/>
          <w:sz w:val="24"/>
          <w:lang w:val="en-US"/>
        </w:rPr>
        <w:tab/>
        <w:t xml:space="preserve">Lima L conrado S, Sharim J, Levin-Epstein R, et al. Hypofractionated Stereotactic Radiosurgery and Radiotherapy to Large Resection Cavity of Metastatic Brain Tumors. </w:t>
      </w:r>
      <w:r w:rsidRPr="0042445A">
        <w:rPr>
          <w:rFonts w:ascii="Arial" w:hAnsi="Arial" w:cs="Arial"/>
          <w:i/>
          <w:iCs/>
          <w:noProof/>
          <w:sz w:val="24"/>
        </w:rPr>
        <w:t>World Neurosurg</w:t>
      </w:r>
      <w:r w:rsidRPr="0042445A">
        <w:rPr>
          <w:rFonts w:ascii="Arial" w:hAnsi="Arial" w:cs="Arial"/>
          <w:noProof/>
          <w:sz w:val="24"/>
        </w:rPr>
        <w:t>. 2017;97:571-579. doi:10.1016/j.wneu.2016.10.076</w:t>
      </w:r>
    </w:p>
    <w:p w14:paraId="32FEBC0F"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42445A">
        <w:rPr>
          <w:rFonts w:ascii="Arial" w:hAnsi="Arial" w:cs="Arial"/>
          <w:noProof/>
          <w:sz w:val="24"/>
        </w:rPr>
        <w:t xml:space="preserve">24. </w:t>
      </w:r>
      <w:r w:rsidRPr="0042445A">
        <w:rPr>
          <w:rFonts w:ascii="Arial" w:hAnsi="Arial" w:cs="Arial"/>
          <w:noProof/>
          <w:sz w:val="24"/>
        </w:rPr>
        <w:tab/>
        <w:t xml:space="preserve">Steinmann D, Maertens B, Janssen S, et al. </w:t>
      </w:r>
      <w:r w:rsidRPr="00B12C6F">
        <w:rPr>
          <w:rFonts w:ascii="Arial" w:hAnsi="Arial" w:cs="Arial"/>
          <w:noProof/>
          <w:sz w:val="24"/>
          <w:lang w:val="en-US"/>
        </w:rPr>
        <w:t xml:space="preserve">Hypofractionated stereotactic radiotherapy (hfSRT) after tumour resection of a single brain metastasis: Report of a single-centre individualized treatment approach. </w:t>
      </w:r>
      <w:r w:rsidRPr="00B12C6F">
        <w:rPr>
          <w:rFonts w:ascii="Arial" w:hAnsi="Arial" w:cs="Arial"/>
          <w:i/>
          <w:iCs/>
          <w:noProof/>
          <w:sz w:val="24"/>
          <w:lang w:val="en-US"/>
        </w:rPr>
        <w:t>J Cancer Res Clin Oncol</w:t>
      </w:r>
      <w:r w:rsidRPr="00B12C6F">
        <w:rPr>
          <w:rFonts w:ascii="Arial" w:hAnsi="Arial" w:cs="Arial"/>
          <w:noProof/>
          <w:sz w:val="24"/>
          <w:lang w:val="en-US"/>
        </w:rPr>
        <w:t>. 2012;138(9):1523-1529. doi:10.1007/s00432-012-1227-x</w:t>
      </w:r>
    </w:p>
    <w:p w14:paraId="718161EA"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25. </w:t>
      </w:r>
      <w:r w:rsidRPr="00B12C6F">
        <w:rPr>
          <w:rFonts w:ascii="Arial" w:hAnsi="Arial" w:cs="Arial"/>
          <w:noProof/>
          <w:sz w:val="24"/>
          <w:lang w:val="en-US"/>
        </w:rPr>
        <w:tab/>
        <w:t xml:space="preserve">Shaw E, Scott C, Souhami L, et al. Single dose radiosurgical treatment of recurrent previously irradiated primary brain tumors and brain metastases: Final report of RTOG protocol 90- 05. </w:t>
      </w:r>
      <w:r w:rsidRPr="00B12C6F">
        <w:rPr>
          <w:rFonts w:ascii="Arial" w:hAnsi="Arial" w:cs="Arial"/>
          <w:i/>
          <w:iCs/>
          <w:noProof/>
          <w:sz w:val="24"/>
          <w:lang w:val="en-US"/>
        </w:rPr>
        <w:t>Int J Radiat Oncol Biol Phys</w:t>
      </w:r>
      <w:r w:rsidRPr="00B12C6F">
        <w:rPr>
          <w:rFonts w:ascii="Arial" w:hAnsi="Arial" w:cs="Arial"/>
          <w:noProof/>
          <w:sz w:val="24"/>
          <w:lang w:val="en-US"/>
        </w:rPr>
        <w:t>. 2000;47(2):291-298. doi:10.1016/S0360-3016(99)00507-6</w:t>
      </w:r>
    </w:p>
    <w:p w14:paraId="0B964AE1"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26. </w:t>
      </w:r>
      <w:r w:rsidRPr="00B12C6F">
        <w:rPr>
          <w:rFonts w:ascii="Arial" w:hAnsi="Arial" w:cs="Arial"/>
          <w:noProof/>
          <w:sz w:val="24"/>
          <w:lang w:val="en-US"/>
        </w:rPr>
        <w:tab/>
        <w:t xml:space="preserve">Choi CYH, Chang SD, Gibbs IC, et al. Stereotactic radiosurgery of the postoperative resection cavity for brain metastases: Prospective evaluation of target margin on tumor control. </w:t>
      </w:r>
      <w:r w:rsidRPr="00B12C6F">
        <w:rPr>
          <w:rFonts w:ascii="Arial" w:hAnsi="Arial" w:cs="Arial"/>
          <w:i/>
          <w:iCs/>
          <w:noProof/>
          <w:sz w:val="24"/>
          <w:lang w:val="en-US"/>
        </w:rPr>
        <w:t>Int J Radiat Oncol Biol Phys</w:t>
      </w:r>
      <w:r w:rsidRPr="00B12C6F">
        <w:rPr>
          <w:rFonts w:ascii="Arial" w:hAnsi="Arial" w:cs="Arial"/>
          <w:noProof/>
          <w:sz w:val="24"/>
          <w:lang w:val="en-US"/>
        </w:rPr>
        <w:t>. 2012;84(2):336-342. doi:10.1016/j.ijrobp.2011.12.009</w:t>
      </w:r>
    </w:p>
    <w:p w14:paraId="1FC35529"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27. </w:t>
      </w:r>
      <w:r w:rsidRPr="00B12C6F">
        <w:rPr>
          <w:rFonts w:ascii="Arial" w:hAnsi="Arial" w:cs="Arial"/>
          <w:noProof/>
          <w:sz w:val="24"/>
          <w:lang w:val="en-US"/>
        </w:rPr>
        <w:tab/>
        <w:t xml:space="preserve">Gondi V, Pugh SL, Tome WA, et al. Preservation of memory with conformal avoidance of the hippocampal neural stem-cell compartment during whole-brain radiotherapy for brain metastases (RTOG 0933): A phase II multi-institutional trial. </w:t>
      </w:r>
      <w:r w:rsidRPr="00B12C6F">
        <w:rPr>
          <w:rFonts w:ascii="Arial" w:hAnsi="Arial" w:cs="Arial"/>
          <w:i/>
          <w:iCs/>
          <w:noProof/>
          <w:sz w:val="24"/>
          <w:lang w:val="en-US"/>
        </w:rPr>
        <w:t>J Clin Oncol</w:t>
      </w:r>
      <w:r w:rsidRPr="00B12C6F">
        <w:rPr>
          <w:rFonts w:ascii="Arial" w:hAnsi="Arial" w:cs="Arial"/>
          <w:noProof/>
          <w:sz w:val="24"/>
          <w:lang w:val="en-US"/>
        </w:rPr>
        <w:t>. 2014;32(34):3810-3816. doi:10.1200/JCO.2014.57.2909</w:t>
      </w:r>
    </w:p>
    <w:p w14:paraId="23A6BAF2"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28. </w:t>
      </w:r>
      <w:r w:rsidRPr="00B12C6F">
        <w:rPr>
          <w:rFonts w:ascii="Arial" w:hAnsi="Arial" w:cs="Arial"/>
          <w:noProof/>
          <w:sz w:val="24"/>
          <w:lang w:val="en-US"/>
        </w:rPr>
        <w:tab/>
        <w:t xml:space="preserve">Grosu AL, Grosu AL, Frings L, et al. Whole-brain irradiation with hippocampal sparing and dose escalation on metastases: Neurocognitive testing and biological imaging (HIPPORAD) - A phase II prospective randomized multicenter trial (NOA-14, ARO 2015-3, DKTK-ROG). </w:t>
      </w:r>
      <w:r w:rsidRPr="00B12C6F">
        <w:rPr>
          <w:rFonts w:ascii="Arial" w:hAnsi="Arial" w:cs="Arial"/>
          <w:i/>
          <w:iCs/>
          <w:noProof/>
          <w:sz w:val="24"/>
          <w:lang w:val="en-US"/>
        </w:rPr>
        <w:t>BMC Cancer</w:t>
      </w:r>
      <w:r w:rsidRPr="00B12C6F">
        <w:rPr>
          <w:rFonts w:ascii="Arial" w:hAnsi="Arial" w:cs="Arial"/>
          <w:noProof/>
          <w:sz w:val="24"/>
          <w:lang w:val="en-US"/>
        </w:rPr>
        <w:t>. 2020;20(1). doi:10.1186/s12885-020-07011-z</w:t>
      </w:r>
    </w:p>
    <w:p w14:paraId="4E5EA078" w14:textId="77777777" w:rsidR="0042445A" w:rsidRPr="0042445A" w:rsidRDefault="0042445A" w:rsidP="0042445A">
      <w:pPr>
        <w:widowControl w:val="0"/>
        <w:autoSpaceDE w:val="0"/>
        <w:autoSpaceDN w:val="0"/>
        <w:adjustRightInd w:val="0"/>
        <w:spacing w:after="200" w:line="360" w:lineRule="auto"/>
        <w:ind w:left="640" w:hanging="640"/>
        <w:rPr>
          <w:rFonts w:ascii="Arial" w:hAnsi="Arial" w:cs="Arial"/>
          <w:noProof/>
          <w:sz w:val="24"/>
        </w:rPr>
      </w:pPr>
      <w:r w:rsidRPr="00B12C6F">
        <w:rPr>
          <w:rFonts w:ascii="Arial" w:hAnsi="Arial" w:cs="Arial"/>
          <w:noProof/>
          <w:sz w:val="24"/>
          <w:lang w:val="en-US"/>
        </w:rPr>
        <w:t xml:space="preserve">29. </w:t>
      </w:r>
      <w:r w:rsidRPr="00B12C6F">
        <w:rPr>
          <w:rFonts w:ascii="Arial" w:hAnsi="Arial" w:cs="Arial"/>
          <w:noProof/>
          <w:sz w:val="24"/>
          <w:lang w:val="en-US"/>
        </w:rPr>
        <w:tab/>
        <w:t xml:space="preserve">Kocher M, Wittig A, Piroth MD, et al. Stereotactic radiosurgery for treatment of brain metastases: A report of the DEGRO Working Group on Stereotactic Radiotherapy. </w:t>
      </w:r>
      <w:r w:rsidRPr="0042445A">
        <w:rPr>
          <w:rFonts w:ascii="Arial" w:hAnsi="Arial" w:cs="Arial"/>
          <w:i/>
          <w:iCs/>
          <w:noProof/>
          <w:sz w:val="24"/>
        </w:rPr>
        <w:t>Strahlentherapie und Onkol</w:t>
      </w:r>
      <w:r w:rsidRPr="0042445A">
        <w:rPr>
          <w:rFonts w:ascii="Arial" w:hAnsi="Arial" w:cs="Arial"/>
          <w:noProof/>
          <w:sz w:val="24"/>
        </w:rPr>
        <w:t>. 2014;190(6):521-532. doi:10.1007/s00066-014-0648-7</w:t>
      </w:r>
    </w:p>
    <w:p w14:paraId="1F3EEB2C"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42445A">
        <w:rPr>
          <w:rFonts w:ascii="Arial" w:hAnsi="Arial" w:cs="Arial"/>
          <w:noProof/>
          <w:sz w:val="24"/>
        </w:rPr>
        <w:t xml:space="preserve">30. </w:t>
      </w:r>
      <w:r w:rsidRPr="0042445A">
        <w:rPr>
          <w:rFonts w:ascii="Arial" w:hAnsi="Arial" w:cs="Arial"/>
          <w:noProof/>
          <w:sz w:val="24"/>
        </w:rPr>
        <w:tab/>
        <w:t xml:space="preserve">Yamamoto M, Serizawa T, Shuto T, et al. </w:t>
      </w:r>
      <w:r w:rsidRPr="00B12C6F">
        <w:rPr>
          <w:rFonts w:ascii="Arial" w:hAnsi="Arial" w:cs="Arial"/>
          <w:noProof/>
          <w:sz w:val="24"/>
          <w:lang w:val="en-US"/>
        </w:rPr>
        <w:t xml:space="preserve">Stereotactic radiosurgery for patients with multiple brain metastases (JLGK0901): a multi-institutional prospective observational study. </w:t>
      </w:r>
      <w:r w:rsidRPr="00B12C6F">
        <w:rPr>
          <w:rFonts w:ascii="Arial" w:hAnsi="Arial" w:cs="Arial"/>
          <w:i/>
          <w:iCs/>
          <w:noProof/>
          <w:sz w:val="24"/>
          <w:lang w:val="en-US"/>
        </w:rPr>
        <w:t>Lancet Oncol</w:t>
      </w:r>
      <w:r w:rsidRPr="00B12C6F">
        <w:rPr>
          <w:rFonts w:ascii="Arial" w:hAnsi="Arial" w:cs="Arial"/>
          <w:noProof/>
          <w:sz w:val="24"/>
          <w:lang w:val="en-US"/>
        </w:rPr>
        <w:t>. 2014;15(4):387-395. doi:10.1016/S1470-2045(14)70061-0</w:t>
      </w:r>
    </w:p>
    <w:p w14:paraId="4BD0A6B7"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31. </w:t>
      </w:r>
      <w:r w:rsidRPr="00B12C6F">
        <w:rPr>
          <w:rFonts w:ascii="Arial" w:hAnsi="Arial" w:cs="Arial"/>
          <w:noProof/>
          <w:sz w:val="24"/>
          <w:lang w:val="en-US"/>
        </w:rPr>
        <w:tab/>
        <w:t xml:space="preserve">Timmer M, Werner JM, Röhn G, et al. Discordance and conversion rates of progesterone-, estrogen-, and HER2/neu-receptor status in primary breast cancer and brain metastasis mainly triggered by hormone therapy. </w:t>
      </w:r>
      <w:r w:rsidRPr="00B12C6F">
        <w:rPr>
          <w:rFonts w:ascii="Arial" w:hAnsi="Arial" w:cs="Arial"/>
          <w:i/>
          <w:iCs/>
          <w:noProof/>
          <w:sz w:val="24"/>
          <w:lang w:val="en-US"/>
        </w:rPr>
        <w:t>Anticancer Res</w:t>
      </w:r>
      <w:r w:rsidRPr="00B12C6F">
        <w:rPr>
          <w:rFonts w:ascii="Arial" w:hAnsi="Arial" w:cs="Arial"/>
          <w:noProof/>
          <w:sz w:val="24"/>
          <w:lang w:val="en-US"/>
        </w:rPr>
        <w:t>. 2017;37(9):4859-4865. doi:10.21873/anticanres.11894</w:t>
      </w:r>
    </w:p>
    <w:p w14:paraId="1E988902"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32. </w:t>
      </w:r>
      <w:r w:rsidRPr="00B12C6F">
        <w:rPr>
          <w:rFonts w:ascii="Arial" w:hAnsi="Arial" w:cs="Arial"/>
          <w:noProof/>
          <w:sz w:val="24"/>
          <w:lang w:val="en-US"/>
        </w:rPr>
        <w:tab/>
        <w:t xml:space="preserve">Hong N, Yoo H, Gwak HS, Shin SH, Lee SH. Outcome of Surgical Resection of Symptomatic Cerebral Lesions in Non-Small Cell Lung Cancer Patients with Multiple Brain Metastases. </w:t>
      </w:r>
      <w:r w:rsidRPr="00B12C6F">
        <w:rPr>
          <w:rFonts w:ascii="Arial" w:hAnsi="Arial" w:cs="Arial"/>
          <w:i/>
          <w:iCs/>
          <w:noProof/>
          <w:sz w:val="24"/>
          <w:lang w:val="en-US"/>
        </w:rPr>
        <w:t>Brain Tumor Res Treat</w:t>
      </w:r>
      <w:r w:rsidRPr="00B12C6F">
        <w:rPr>
          <w:rFonts w:ascii="Arial" w:hAnsi="Arial" w:cs="Arial"/>
          <w:noProof/>
          <w:sz w:val="24"/>
          <w:lang w:val="en-US"/>
        </w:rPr>
        <w:t>. 2013;1(2):64. doi:10.14791/btrt.2013.1.2.64</w:t>
      </w:r>
    </w:p>
    <w:p w14:paraId="5CCCD2FD"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33. </w:t>
      </w:r>
      <w:r w:rsidRPr="00B12C6F">
        <w:rPr>
          <w:rFonts w:ascii="Arial" w:hAnsi="Arial" w:cs="Arial"/>
          <w:noProof/>
          <w:sz w:val="24"/>
          <w:lang w:val="en-US"/>
        </w:rPr>
        <w:tab/>
        <w:t xml:space="preserve">Soria JC, Ohe Y, Vansteenkiste J, et al. Osimertinib in untreated EGFR-Mutated advanced non-small-cell lung cancer. </w:t>
      </w:r>
      <w:r w:rsidRPr="00B12C6F">
        <w:rPr>
          <w:rFonts w:ascii="Arial" w:hAnsi="Arial" w:cs="Arial"/>
          <w:i/>
          <w:iCs/>
          <w:noProof/>
          <w:sz w:val="24"/>
          <w:lang w:val="en-US"/>
        </w:rPr>
        <w:t>N Engl J Med</w:t>
      </w:r>
      <w:r w:rsidRPr="00B12C6F">
        <w:rPr>
          <w:rFonts w:ascii="Arial" w:hAnsi="Arial" w:cs="Arial"/>
          <w:noProof/>
          <w:sz w:val="24"/>
          <w:lang w:val="en-US"/>
        </w:rPr>
        <w:t>. 2018;378(2):113-125. doi:10.1056/NEJMoa1713137</w:t>
      </w:r>
    </w:p>
    <w:p w14:paraId="38C715C4"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34. </w:t>
      </w:r>
      <w:r w:rsidRPr="00B12C6F">
        <w:rPr>
          <w:rFonts w:ascii="Arial" w:hAnsi="Arial" w:cs="Arial"/>
          <w:noProof/>
          <w:sz w:val="24"/>
          <w:lang w:val="en-US"/>
        </w:rPr>
        <w:tab/>
        <w:t xml:space="preserve">Peters S, Camidge DR, Shaw AT, et al. Alectinib versus crizotinib in untreated ALK-positive non–small-cell lung cancer. </w:t>
      </w:r>
      <w:r w:rsidRPr="00B12C6F">
        <w:rPr>
          <w:rFonts w:ascii="Arial" w:hAnsi="Arial" w:cs="Arial"/>
          <w:i/>
          <w:iCs/>
          <w:noProof/>
          <w:sz w:val="24"/>
          <w:lang w:val="en-US"/>
        </w:rPr>
        <w:t>N Engl J Med</w:t>
      </w:r>
      <w:r w:rsidRPr="00B12C6F">
        <w:rPr>
          <w:rFonts w:ascii="Arial" w:hAnsi="Arial" w:cs="Arial"/>
          <w:noProof/>
          <w:sz w:val="24"/>
          <w:lang w:val="en-US"/>
        </w:rPr>
        <w:t>. 2017;377(9):829-838. doi:10.1056/NEJMoa1704795</w:t>
      </w:r>
    </w:p>
    <w:p w14:paraId="489AE295"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35. </w:t>
      </w:r>
      <w:r w:rsidRPr="00B12C6F">
        <w:rPr>
          <w:rFonts w:ascii="Arial" w:hAnsi="Arial" w:cs="Arial"/>
          <w:noProof/>
          <w:sz w:val="24"/>
          <w:lang w:val="en-US"/>
        </w:rPr>
        <w:tab/>
        <w:t xml:space="preserve">Dagogo-Jack I, Oxnard GR, Fink J, et al. A phase II study of lorlatinib in patients (pts) with ALK-positive (ALK+) lung cancer with brain-only progression. </w:t>
      </w:r>
      <w:r w:rsidRPr="00B12C6F">
        <w:rPr>
          <w:rFonts w:ascii="Arial" w:hAnsi="Arial" w:cs="Arial"/>
          <w:i/>
          <w:iCs/>
          <w:noProof/>
          <w:sz w:val="24"/>
          <w:lang w:val="en-US"/>
        </w:rPr>
        <w:t>J Clin Oncol</w:t>
      </w:r>
      <w:r w:rsidRPr="00B12C6F">
        <w:rPr>
          <w:rFonts w:ascii="Arial" w:hAnsi="Arial" w:cs="Arial"/>
          <w:noProof/>
          <w:sz w:val="24"/>
          <w:lang w:val="en-US"/>
        </w:rPr>
        <w:t>. 2020;38(15_suppl):9595. doi:10.1200/JCO.2020.38.15_suppl.9595</w:t>
      </w:r>
    </w:p>
    <w:p w14:paraId="78F35AEC"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36. </w:t>
      </w:r>
      <w:r w:rsidRPr="00B12C6F">
        <w:rPr>
          <w:rFonts w:ascii="Arial" w:hAnsi="Arial" w:cs="Arial"/>
          <w:noProof/>
          <w:sz w:val="24"/>
          <w:lang w:val="en-US"/>
        </w:rPr>
        <w:tab/>
        <w:t xml:space="preserve">Drilon A, Siena S, Dziadziuszko R, et al. Entrectinib in ROS1 fusion-positive non-small-cell lung cancer: integrated analysis of three phase 1–2 trials. </w:t>
      </w:r>
      <w:r w:rsidRPr="00B12C6F">
        <w:rPr>
          <w:rFonts w:ascii="Arial" w:hAnsi="Arial" w:cs="Arial"/>
          <w:i/>
          <w:iCs/>
          <w:noProof/>
          <w:sz w:val="24"/>
          <w:lang w:val="en-US"/>
        </w:rPr>
        <w:t>Lancet Oncol</w:t>
      </w:r>
      <w:r w:rsidRPr="00B12C6F">
        <w:rPr>
          <w:rFonts w:ascii="Arial" w:hAnsi="Arial" w:cs="Arial"/>
          <w:noProof/>
          <w:sz w:val="24"/>
          <w:lang w:val="en-US"/>
        </w:rPr>
        <w:t>. 2020;21(2):261-270. doi:10.1016/S1470-2045(19)30690-4</w:t>
      </w:r>
    </w:p>
    <w:p w14:paraId="2AF4060C"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37. </w:t>
      </w:r>
      <w:r w:rsidRPr="00B12C6F">
        <w:rPr>
          <w:rFonts w:ascii="Arial" w:hAnsi="Arial" w:cs="Arial"/>
          <w:noProof/>
          <w:sz w:val="24"/>
          <w:lang w:val="en-US"/>
        </w:rPr>
        <w:tab/>
        <w:t xml:space="preserve">Davies MA, Saiag P, Robert C, et al. Dabrafenib plus trametinib in patients with BRAFV600-mutant melanoma brain metastases (COMBI-MB): a multicentre, multicohort, open-label, phase 2 trial. </w:t>
      </w:r>
      <w:r w:rsidRPr="00B12C6F">
        <w:rPr>
          <w:rFonts w:ascii="Arial" w:hAnsi="Arial" w:cs="Arial"/>
          <w:i/>
          <w:iCs/>
          <w:noProof/>
          <w:sz w:val="24"/>
          <w:lang w:val="en-US"/>
        </w:rPr>
        <w:t>Lancet Oncol</w:t>
      </w:r>
      <w:r w:rsidRPr="00B12C6F">
        <w:rPr>
          <w:rFonts w:ascii="Arial" w:hAnsi="Arial" w:cs="Arial"/>
          <w:noProof/>
          <w:sz w:val="24"/>
          <w:lang w:val="en-US"/>
        </w:rPr>
        <w:t>. 2017;18(7):863-873. doi:10.1016/S1470-2045(17)30429-1</w:t>
      </w:r>
    </w:p>
    <w:p w14:paraId="6E98CD01"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38. </w:t>
      </w:r>
      <w:r w:rsidRPr="00B12C6F">
        <w:rPr>
          <w:rFonts w:ascii="Arial" w:hAnsi="Arial" w:cs="Arial"/>
          <w:noProof/>
          <w:sz w:val="24"/>
          <w:lang w:val="en-US"/>
        </w:rPr>
        <w:tab/>
        <w:t xml:space="preserve">Ahmed KA, Abuodeh YA, Echevarria MI, et al. Clinical outcomes of melanoma brain metastases treated with stereotactic radiosurgery and anti-PD-1 therapy, anti-CTLA-4 therapy, BRAF/MEK inhibitors, BRAF inhibitor, or conventional chemotherapy. </w:t>
      </w:r>
      <w:r w:rsidRPr="00B12C6F">
        <w:rPr>
          <w:rFonts w:ascii="Arial" w:hAnsi="Arial" w:cs="Arial"/>
          <w:i/>
          <w:iCs/>
          <w:noProof/>
          <w:sz w:val="24"/>
          <w:lang w:val="en-US"/>
        </w:rPr>
        <w:t>Ann Oncol  Off J Eur Soc Med Oncol</w:t>
      </w:r>
      <w:r w:rsidRPr="00B12C6F">
        <w:rPr>
          <w:rFonts w:ascii="Arial" w:hAnsi="Arial" w:cs="Arial"/>
          <w:noProof/>
          <w:sz w:val="24"/>
          <w:lang w:val="en-US"/>
        </w:rPr>
        <w:t>. 2016;27(12):2288-2294. doi:10.1093/annonc/mdw417</w:t>
      </w:r>
    </w:p>
    <w:p w14:paraId="76FD869D"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39. </w:t>
      </w:r>
      <w:r w:rsidRPr="00B12C6F">
        <w:rPr>
          <w:rFonts w:ascii="Arial" w:hAnsi="Arial" w:cs="Arial"/>
          <w:noProof/>
          <w:sz w:val="24"/>
          <w:lang w:val="en-US"/>
        </w:rPr>
        <w:tab/>
        <w:t xml:space="preserve">Temel JS, Greer JA, Muzikansky A, et al. Early palliative care for patients with metastatic non-small-cell lung cancer. </w:t>
      </w:r>
      <w:r w:rsidRPr="00B12C6F">
        <w:rPr>
          <w:rFonts w:ascii="Arial" w:hAnsi="Arial" w:cs="Arial"/>
          <w:i/>
          <w:iCs/>
          <w:noProof/>
          <w:sz w:val="24"/>
          <w:lang w:val="en-US"/>
        </w:rPr>
        <w:t>N Engl J Med</w:t>
      </w:r>
      <w:r w:rsidRPr="00B12C6F">
        <w:rPr>
          <w:rFonts w:ascii="Arial" w:hAnsi="Arial" w:cs="Arial"/>
          <w:noProof/>
          <w:sz w:val="24"/>
          <w:lang w:val="en-US"/>
        </w:rPr>
        <w:t>. 2010;363(8):733-742. doi:10.1056/NEJMoa1000678</w:t>
      </w:r>
    </w:p>
    <w:p w14:paraId="77221A8F" w14:textId="77777777" w:rsidR="0042445A" w:rsidRPr="0042445A" w:rsidRDefault="0042445A" w:rsidP="0042445A">
      <w:pPr>
        <w:widowControl w:val="0"/>
        <w:autoSpaceDE w:val="0"/>
        <w:autoSpaceDN w:val="0"/>
        <w:adjustRightInd w:val="0"/>
        <w:spacing w:after="200" w:line="360" w:lineRule="auto"/>
        <w:ind w:left="640" w:hanging="640"/>
        <w:rPr>
          <w:rFonts w:ascii="Arial" w:hAnsi="Arial" w:cs="Arial"/>
          <w:noProof/>
          <w:sz w:val="24"/>
        </w:rPr>
      </w:pPr>
      <w:r w:rsidRPr="00B12C6F">
        <w:rPr>
          <w:rFonts w:ascii="Arial" w:hAnsi="Arial" w:cs="Arial"/>
          <w:noProof/>
          <w:sz w:val="24"/>
          <w:lang w:val="en-US"/>
        </w:rPr>
        <w:t xml:space="preserve">40. </w:t>
      </w:r>
      <w:r w:rsidRPr="00B12C6F">
        <w:rPr>
          <w:rFonts w:ascii="Arial" w:hAnsi="Arial" w:cs="Arial"/>
          <w:noProof/>
          <w:sz w:val="24"/>
          <w:lang w:val="en-US"/>
        </w:rPr>
        <w:tab/>
        <w:t xml:space="preserve">Dyar S, Lesperance M, Shannon R, Sloan J, Colon-Otero G. A nurse practitioner directed intervention improves the quality of life of patients with metastatic cancer: Results of a randomized pilot study. </w:t>
      </w:r>
      <w:r w:rsidRPr="0042445A">
        <w:rPr>
          <w:rFonts w:ascii="Arial" w:hAnsi="Arial" w:cs="Arial"/>
          <w:i/>
          <w:iCs/>
          <w:noProof/>
          <w:sz w:val="24"/>
        </w:rPr>
        <w:t>J Palliat Med</w:t>
      </w:r>
      <w:r w:rsidRPr="0042445A">
        <w:rPr>
          <w:rFonts w:ascii="Arial" w:hAnsi="Arial" w:cs="Arial"/>
          <w:noProof/>
          <w:sz w:val="24"/>
        </w:rPr>
        <w:t>. 2012;15(8):890-895. doi:10.1089/jpm.2012.0014</w:t>
      </w:r>
    </w:p>
    <w:p w14:paraId="7261E4F2"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42445A">
        <w:rPr>
          <w:rFonts w:ascii="Arial" w:hAnsi="Arial" w:cs="Arial"/>
          <w:noProof/>
          <w:sz w:val="24"/>
        </w:rPr>
        <w:t xml:space="preserve">41. </w:t>
      </w:r>
      <w:r w:rsidRPr="0042445A">
        <w:rPr>
          <w:rFonts w:ascii="Arial" w:hAnsi="Arial" w:cs="Arial"/>
          <w:noProof/>
          <w:sz w:val="24"/>
        </w:rPr>
        <w:tab/>
        <w:t xml:space="preserve">Zimmermann C, Swami N, Krzyzanowska M, et al. </w:t>
      </w:r>
      <w:r w:rsidRPr="00B12C6F">
        <w:rPr>
          <w:rFonts w:ascii="Arial" w:hAnsi="Arial" w:cs="Arial"/>
          <w:noProof/>
          <w:sz w:val="24"/>
          <w:lang w:val="en-US"/>
        </w:rPr>
        <w:t xml:space="preserve">Early palliative care for patients with advanced cancer: A cluster-randomised controlled trial. </w:t>
      </w:r>
      <w:r w:rsidRPr="00B12C6F">
        <w:rPr>
          <w:rFonts w:ascii="Arial" w:hAnsi="Arial" w:cs="Arial"/>
          <w:i/>
          <w:iCs/>
          <w:noProof/>
          <w:sz w:val="24"/>
          <w:lang w:val="en-US"/>
        </w:rPr>
        <w:t>Lancet</w:t>
      </w:r>
      <w:r w:rsidRPr="00B12C6F">
        <w:rPr>
          <w:rFonts w:ascii="Arial" w:hAnsi="Arial" w:cs="Arial"/>
          <w:noProof/>
          <w:sz w:val="24"/>
          <w:lang w:val="en-US"/>
        </w:rPr>
        <w:t>. 2014;383(9930):1721-1730. doi:10.1016/S0140-6736(13)62416-2</w:t>
      </w:r>
    </w:p>
    <w:p w14:paraId="309901A4"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42. </w:t>
      </w:r>
      <w:r w:rsidRPr="00B12C6F">
        <w:rPr>
          <w:rFonts w:ascii="Arial" w:hAnsi="Arial" w:cs="Arial"/>
          <w:noProof/>
          <w:sz w:val="24"/>
          <w:lang w:val="en-US"/>
        </w:rPr>
        <w:tab/>
        <w:t xml:space="preserve">Higginson IJ, Bausewein C, Reilly CC, et al. An integrated palliative and respiratory care service for patients with advanced disease and refractory breathlessness: A randomised controlled trial. </w:t>
      </w:r>
      <w:r w:rsidRPr="00B12C6F">
        <w:rPr>
          <w:rFonts w:ascii="Arial" w:hAnsi="Arial" w:cs="Arial"/>
          <w:i/>
          <w:iCs/>
          <w:noProof/>
          <w:sz w:val="24"/>
          <w:lang w:val="en-US"/>
        </w:rPr>
        <w:t>Lancet Respir Med</w:t>
      </w:r>
      <w:r w:rsidRPr="00B12C6F">
        <w:rPr>
          <w:rFonts w:ascii="Arial" w:hAnsi="Arial" w:cs="Arial"/>
          <w:noProof/>
          <w:sz w:val="24"/>
          <w:lang w:val="en-US"/>
        </w:rPr>
        <w:t>. 2014;2(12):979-987. doi:10.1016/S2213-2600(14)70226-7</w:t>
      </w:r>
    </w:p>
    <w:p w14:paraId="78E0AF71"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43. </w:t>
      </w:r>
      <w:r w:rsidRPr="00B12C6F">
        <w:rPr>
          <w:rFonts w:ascii="Arial" w:hAnsi="Arial" w:cs="Arial"/>
          <w:noProof/>
          <w:sz w:val="24"/>
          <w:lang w:val="en-US"/>
        </w:rPr>
        <w:tab/>
        <w:t xml:space="preserve">Bakitas MA, Tosteson TD, Li Z, et al. Early versus delayed initiation of concurrent palliative oncology care: Patient outcomes in the ENABLE III randomized controlled trial. </w:t>
      </w:r>
      <w:r w:rsidRPr="00B12C6F">
        <w:rPr>
          <w:rFonts w:ascii="Arial" w:hAnsi="Arial" w:cs="Arial"/>
          <w:i/>
          <w:iCs/>
          <w:noProof/>
          <w:sz w:val="24"/>
          <w:lang w:val="en-US"/>
        </w:rPr>
        <w:t>J Clin Oncol</w:t>
      </w:r>
      <w:r w:rsidRPr="00B12C6F">
        <w:rPr>
          <w:rFonts w:ascii="Arial" w:hAnsi="Arial" w:cs="Arial"/>
          <w:noProof/>
          <w:sz w:val="24"/>
          <w:lang w:val="en-US"/>
        </w:rPr>
        <w:t>. 2015;33(13):1438-1445. doi:10.1200/JCO.2014.58.6362</w:t>
      </w:r>
    </w:p>
    <w:p w14:paraId="5EB76B19"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44. </w:t>
      </w:r>
      <w:r w:rsidRPr="00B12C6F">
        <w:rPr>
          <w:rFonts w:ascii="Arial" w:hAnsi="Arial" w:cs="Arial"/>
          <w:noProof/>
          <w:sz w:val="24"/>
          <w:lang w:val="en-US"/>
        </w:rPr>
        <w:tab/>
        <w:t xml:space="preserve">Temel JS, Greer JA, El-Jawahri A, et al. Effects of early integrated palliative care in patients with lung and gi cancer: A randomized clinical trial. </w:t>
      </w:r>
      <w:r w:rsidRPr="00B12C6F">
        <w:rPr>
          <w:rFonts w:ascii="Arial" w:hAnsi="Arial" w:cs="Arial"/>
          <w:i/>
          <w:iCs/>
          <w:noProof/>
          <w:sz w:val="24"/>
          <w:lang w:val="en-US"/>
        </w:rPr>
        <w:t>J Clin Oncol</w:t>
      </w:r>
      <w:r w:rsidRPr="00B12C6F">
        <w:rPr>
          <w:rFonts w:ascii="Arial" w:hAnsi="Arial" w:cs="Arial"/>
          <w:noProof/>
          <w:sz w:val="24"/>
          <w:lang w:val="en-US"/>
        </w:rPr>
        <w:t>. 2017;35(8):834-841. doi:10.1200/JCO.2016.70.5046</w:t>
      </w:r>
    </w:p>
    <w:p w14:paraId="3D949166"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45. </w:t>
      </w:r>
      <w:r w:rsidRPr="00B12C6F">
        <w:rPr>
          <w:rFonts w:ascii="Arial" w:hAnsi="Arial" w:cs="Arial"/>
          <w:noProof/>
          <w:sz w:val="24"/>
          <w:lang w:val="en-US"/>
        </w:rPr>
        <w:tab/>
        <w:t>El</w:t>
      </w:r>
      <w:r w:rsidRPr="00B12C6F">
        <w:rPr>
          <w:rFonts w:ascii="Cambria Math" w:hAnsi="Cambria Math" w:cs="Cambria Math"/>
          <w:noProof/>
          <w:sz w:val="24"/>
          <w:lang w:val="en-US"/>
        </w:rPr>
        <w:t>‐</w:t>
      </w:r>
      <w:r w:rsidRPr="00B12C6F">
        <w:rPr>
          <w:rFonts w:ascii="Arial" w:hAnsi="Arial" w:cs="Arial"/>
          <w:noProof/>
          <w:sz w:val="24"/>
          <w:lang w:val="en-US"/>
        </w:rPr>
        <w:t xml:space="preserve">Jawahri A, Greer JA, Pirl WF, et al. Effects of Early Integrated Palliative Care on Caregivers of Patients with Lung and Gastrointestinal Cancer: A Randomized Clinical Trial. </w:t>
      </w:r>
      <w:r w:rsidRPr="00B12C6F">
        <w:rPr>
          <w:rFonts w:ascii="Arial" w:hAnsi="Arial" w:cs="Arial"/>
          <w:i/>
          <w:iCs/>
          <w:noProof/>
          <w:sz w:val="24"/>
          <w:lang w:val="en-US"/>
        </w:rPr>
        <w:t>Oncologist</w:t>
      </w:r>
      <w:r w:rsidRPr="00B12C6F">
        <w:rPr>
          <w:rFonts w:ascii="Arial" w:hAnsi="Arial" w:cs="Arial"/>
          <w:noProof/>
          <w:sz w:val="24"/>
          <w:lang w:val="en-US"/>
        </w:rPr>
        <w:t>. 2017;22(12):1528-1534. doi:10.1634/theoncologist.2017-0227</w:t>
      </w:r>
    </w:p>
    <w:p w14:paraId="079ABE70"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46. </w:t>
      </w:r>
      <w:r w:rsidRPr="00B12C6F">
        <w:rPr>
          <w:rFonts w:ascii="Arial" w:hAnsi="Arial" w:cs="Arial"/>
          <w:noProof/>
          <w:sz w:val="24"/>
          <w:lang w:val="en-US"/>
        </w:rPr>
        <w:tab/>
        <w:t xml:space="preserve">Ferrell BR, Temel JS, Temin S, et al. Integration of palliative care into standard oncology care: American society of clinical oncology clinical practice guideline update. </w:t>
      </w:r>
      <w:r w:rsidRPr="00B12C6F">
        <w:rPr>
          <w:rFonts w:ascii="Arial" w:hAnsi="Arial" w:cs="Arial"/>
          <w:i/>
          <w:iCs/>
          <w:noProof/>
          <w:sz w:val="24"/>
          <w:lang w:val="en-US"/>
        </w:rPr>
        <w:t>J Clin Oncol</w:t>
      </w:r>
      <w:r w:rsidRPr="00B12C6F">
        <w:rPr>
          <w:rFonts w:ascii="Arial" w:hAnsi="Arial" w:cs="Arial"/>
          <w:noProof/>
          <w:sz w:val="24"/>
          <w:lang w:val="en-US"/>
        </w:rPr>
        <w:t>. 2017;35(1):96-112. doi:10.1200/JCO.2016.70.1474</w:t>
      </w:r>
    </w:p>
    <w:p w14:paraId="568893FF" w14:textId="77777777" w:rsidR="0042445A" w:rsidRPr="00B12C6F" w:rsidRDefault="0042445A" w:rsidP="0042445A">
      <w:pPr>
        <w:widowControl w:val="0"/>
        <w:autoSpaceDE w:val="0"/>
        <w:autoSpaceDN w:val="0"/>
        <w:adjustRightInd w:val="0"/>
        <w:spacing w:after="200" w:line="360" w:lineRule="auto"/>
        <w:ind w:left="640" w:hanging="640"/>
        <w:rPr>
          <w:rFonts w:ascii="Arial" w:hAnsi="Arial" w:cs="Arial"/>
          <w:noProof/>
          <w:sz w:val="24"/>
          <w:lang w:val="en-US"/>
        </w:rPr>
      </w:pPr>
      <w:r w:rsidRPr="00B12C6F">
        <w:rPr>
          <w:rFonts w:ascii="Arial" w:hAnsi="Arial" w:cs="Arial"/>
          <w:noProof/>
          <w:sz w:val="24"/>
          <w:lang w:val="en-US"/>
        </w:rPr>
        <w:t xml:space="preserve">47. </w:t>
      </w:r>
      <w:r w:rsidRPr="00B12C6F">
        <w:rPr>
          <w:rFonts w:ascii="Arial" w:hAnsi="Arial" w:cs="Arial"/>
          <w:noProof/>
          <w:sz w:val="24"/>
          <w:lang w:val="en-US"/>
        </w:rPr>
        <w:tab/>
        <w:t xml:space="preserve">Smith TJ, Temin S, Alesi ER, et al. American Society of Clinical Oncology provisional clinical opinion: The integration of palliative care into standard oncology care. </w:t>
      </w:r>
      <w:r w:rsidRPr="00B12C6F">
        <w:rPr>
          <w:rFonts w:ascii="Arial" w:hAnsi="Arial" w:cs="Arial"/>
          <w:i/>
          <w:iCs/>
          <w:noProof/>
          <w:sz w:val="24"/>
          <w:lang w:val="en-US"/>
        </w:rPr>
        <w:t>J Clin Oncol</w:t>
      </w:r>
      <w:r w:rsidRPr="00B12C6F">
        <w:rPr>
          <w:rFonts w:ascii="Arial" w:hAnsi="Arial" w:cs="Arial"/>
          <w:noProof/>
          <w:sz w:val="24"/>
          <w:lang w:val="en-US"/>
        </w:rPr>
        <w:t>. 2012;30(8):880-887. doi:10.1200/JCO.2011.38.5161</w:t>
      </w:r>
    </w:p>
    <w:p w14:paraId="50A27826" w14:textId="77777777" w:rsidR="0042445A" w:rsidRPr="0042445A" w:rsidRDefault="0042445A" w:rsidP="0042445A">
      <w:pPr>
        <w:widowControl w:val="0"/>
        <w:autoSpaceDE w:val="0"/>
        <w:autoSpaceDN w:val="0"/>
        <w:adjustRightInd w:val="0"/>
        <w:spacing w:after="200" w:line="360" w:lineRule="auto"/>
        <w:ind w:left="640" w:hanging="640"/>
        <w:rPr>
          <w:rFonts w:ascii="Arial" w:hAnsi="Arial" w:cs="Arial"/>
          <w:noProof/>
          <w:sz w:val="24"/>
        </w:rPr>
      </w:pPr>
      <w:r w:rsidRPr="00B12C6F">
        <w:rPr>
          <w:rFonts w:ascii="Arial" w:hAnsi="Arial" w:cs="Arial"/>
          <w:noProof/>
          <w:sz w:val="24"/>
          <w:lang w:val="en-US"/>
        </w:rPr>
        <w:t xml:space="preserve">48. </w:t>
      </w:r>
      <w:r w:rsidRPr="00B12C6F">
        <w:rPr>
          <w:rFonts w:ascii="Arial" w:hAnsi="Arial" w:cs="Arial"/>
          <w:noProof/>
          <w:sz w:val="24"/>
          <w:lang w:val="en-US"/>
        </w:rPr>
        <w:tab/>
        <w:t xml:space="preserve">Osman H, Shrestha S, Temin S, et al. Palliative care in the global setting: ASCO resource-stratified practice guideline. </w:t>
      </w:r>
      <w:r w:rsidRPr="0042445A">
        <w:rPr>
          <w:rFonts w:ascii="Arial" w:hAnsi="Arial" w:cs="Arial"/>
          <w:i/>
          <w:iCs/>
          <w:noProof/>
          <w:sz w:val="24"/>
        </w:rPr>
        <w:t>J Glob Oncol</w:t>
      </w:r>
      <w:r w:rsidRPr="0042445A">
        <w:rPr>
          <w:rFonts w:ascii="Arial" w:hAnsi="Arial" w:cs="Arial"/>
          <w:noProof/>
          <w:sz w:val="24"/>
        </w:rPr>
        <w:t>. 2018;2018(4). doi:10.1200/JGO.18.00026</w:t>
      </w:r>
    </w:p>
    <w:p w14:paraId="776F84FE" w14:textId="11F8F1B2" w:rsidR="004B408B" w:rsidRPr="00FE3114" w:rsidRDefault="004B408B" w:rsidP="0042445A">
      <w:pPr>
        <w:widowControl w:val="0"/>
        <w:autoSpaceDE w:val="0"/>
        <w:autoSpaceDN w:val="0"/>
        <w:adjustRightInd w:val="0"/>
        <w:spacing w:after="200" w:line="360" w:lineRule="auto"/>
        <w:ind w:left="640" w:hanging="640"/>
        <w:rPr>
          <w:rFonts w:eastAsia="Times New Roman"/>
          <w:color w:val="000000"/>
          <w:lang w:val="de-AT" w:eastAsia="de-AT"/>
        </w:rPr>
      </w:pPr>
      <w:r>
        <w:rPr>
          <w:rFonts w:eastAsia="Times New Roman"/>
          <w:color w:val="000000"/>
          <w:lang w:val="de-AT" w:eastAsia="de-AT"/>
        </w:rPr>
        <w:fldChar w:fldCharType="end"/>
      </w:r>
    </w:p>
    <w:sectPr w:rsidR="004B408B" w:rsidRPr="00FE3114" w:rsidSect="00593CAA">
      <w:pgSz w:w="12240" w:h="15840"/>
      <w:pgMar w:top="1440" w:right="1440" w:bottom="1440" w:left="1440"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3D65A" w14:textId="77777777" w:rsidR="00F22F4D" w:rsidRDefault="00F22F4D">
      <w:r>
        <w:separator/>
      </w:r>
    </w:p>
  </w:endnote>
  <w:endnote w:type="continuationSeparator" w:id="0">
    <w:p w14:paraId="20FF3E26" w14:textId="77777777" w:rsidR="00F22F4D" w:rsidRDefault="00F22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roximaNovaA-Regular">
    <w:altName w:val="Arial"/>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AF740" w14:textId="77777777" w:rsidR="00F22F4D" w:rsidRDefault="00F22F4D">
      <w:r>
        <w:separator/>
      </w:r>
    </w:p>
  </w:footnote>
  <w:footnote w:type="continuationSeparator" w:id="0">
    <w:p w14:paraId="2DAC9306" w14:textId="77777777" w:rsidR="00F22F4D" w:rsidRDefault="00F22F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AA779F"/>
    <w:multiLevelType w:val="hybridMultilevel"/>
    <w:tmpl w:val="BC26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9D7854"/>
    <w:multiLevelType w:val="hybridMultilevel"/>
    <w:tmpl w:val="332E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Grau">
    <w15:presenceInfo w15:providerId="None" w15:userId="Stefan Gr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23"/>
    <w:rsid w:val="000132BB"/>
    <w:rsid w:val="00020957"/>
    <w:rsid w:val="00021EF1"/>
    <w:rsid w:val="0004482A"/>
    <w:rsid w:val="000454BE"/>
    <w:rsid w:val="0008292C"/>
    <w:rsid w:val="00084BF0"/>
    <w:rsid w:val="000B652F"/>
    <w:rsid w:val="000C0D8A"/>
    <w:rsid w:val="000C66F1"/>
    <w:rsid w:val="000C74FE"/>
    <w:rsid w:val="000D21B1"/>
    <w:rsid w:val="000D6A32"/>
    <w:rsid w:val="000E1DCC"/>
    <w:rsid w:val="000F2811"/>
    <w:rsid w:val="001012C8"/>
    <w:rsid w:val="00114C99"/>
    <w:rsid w:val="0012409E"/>
    <w:rsid w:val="00126D74"/>
    <w:rsid w:val="00137A29"/>
    <w:rsid w:val="001410BF"/>
    <w:rsid w:val="0015115A"/>
    <w:rsid w:val="001636AE"/>
    <w:rsid w:val="0018242B"/>
    <w:rsid w:val="00197828"/>
    <w:rsid w:val="001B118A"/>
    <w:rsid w:val="001B53F9"/>
    <w:rsid w:val="001C2A0C"/>
    <w:rsid w:val="001D6A5D"/>
    <w:rsid w:val="001E237B"/>
    <w:rsid w:val="001E604D"/>
    <w:rsid w:val="001F26D8"/>
    <w:rsid w:val="001F7218"/>
    <w:rsid w:val="00205305"/>
    <w:rsid w:val="00205A8D"/>
    <w:rsid w:val="00207E69"/>
    <w:rsid w:val="00215F1D"/>
    <w:rsid w:val="00220763"/>
    <w:rsid w:val="002212C7"/>
    <w:rsid w:val="00231A8A"/>
    <w:rsid w:val="00237910"/>
    <w:rsid w:val="00240482"/>
    <w:rsid w:val="00240568"/>
    <w:rsid w:val="0026120A"/>
    <w:rsid w:val="002849FA"/>
    <w:rsid w:val="00296B51"/>
    <w:rsid w:val="002A517D"/>
    <w:rsid w:val="002B50C5"/>
    <w:rsid w:val="002D6BC8"/>
    <w:rsid w:val="002D7220"/>
    <w:rsid w:val="002E4B3B"/>
    <w:rsid w:val="002E5E5B"/>
    <w:rsid w:val="00311D0B"/>
    <w:rsid w:val="00313C76"/>
    <w:rsid w:val="00314528"/>
    <w:rsid w:val="00321ED1"/>
    <w:rsid w:val="00336315"/>
    <w:rsid w:val="0034123E"/>
    <w:rsid w:val="00371C76"/>
    <w:rsid w:val="00386E33"/>
    <w:rsid w:val="00391FD7"/>
    <w:rsid w:val="00392067"/>
    <w:rsid w:val="003A16C1"/>
    <w:rsid w:val="003B5430"/>
    <w:rsid w:val="003F3ED4"/>
    <w:rsid w:val="004106EA"/>
    <w:rsid w:val="00410881"/>
    <w:rsid w:val="004123AC"/>
    <w:rsid w:val="0042445A"/>
    <w:rsid w:val="00433084"/>
    <w:rsid w:val="00450B64"/>
    <w:rsid w:val="00491900"/>
    <w:rsid w:val="004B408B"/>
    <w:rsid w:val="004D49C1"/>
    <w:rsid w:val="0050172A"/>
    <w:rsid w:val="00533989"/>
    <w:rsid w:val="00547740"/>
    <w:rsid w:val="00593CAA"/>
    <w:rsid w:val="005A0113"/>
    <w:rsid w:val="005A2B24"/>
    <w:rsid w:val="005B56E3"/>
    <w:rsid w:val="005C23FC"/>
    <w:rsid w:val="005C60FB"/>
    <w:rsid w:val="005C6878"/>
    <w:rsid w:val="005F6D99"/>
    <w:rsid w:val="005F78C9"/>
    <w:rsid w:val="00603DB9"/>
    <w:rsid w:val="0060549C"/>
    <w:rsid w:val="00616A12"/>
    <w:rsid w:val="00630DEB"/>
    <w:rsid w:val="006549E5"/>
    <w:rsid w:val="0065532C"/>
    <w:rsid w:val="00657C50"/>
    <w:rsid w:val="00662BED"/>
    <w:rsid w:val="00665BC3"/>
    <w:rsid w:val="006704A7"/>
    <w:rsid w:val="006962C3"/>
    <w:rsid w:val="006A2C69"/>
    <w:rsid w:val="006A71F8"/>
    <w:rsid w:val="006B0476"/>
    <w:rsid w:val="006B4DCE"/>
    <w:rsid w:val="006C014F"/>
    <w:rsid w:val="006E2B11"/>
    <w:rsid w:val="006E7CD7"/>
    <w:rsid w:val="006F6CE0"/>
    <w:rsid w:val="00704CFB"/>
    <w:rsid w:val="007418DC"/>
    <w:rsid w:val="00750BFF"/>
    <w:rsid w:val="00767A7C"/>
    <w:rsid w:val="007F761E"/>
    <w:rsid w:val="00800855"/>
    <w:rsid w:val="008027AC"/>
    <w:rsid w:val="0081152D"/>
    <w:rsid w:val="008131F5"/>
    <w:rsid w:val="00821C8A"/>
    <w:rsid w:val="00835C2A"/>
    <w:rsid w:val="0084505A"/>
    <w:rsid w:val="00875D23"/>
    <w:rsid w:val="008844BD"/>
    <w:rsid w:val="00884FB2"/>
    <w:rsid w:val="008D38DB"/>
    <w:rsid w:val="0090513E"/>
    <w:rsid w:val="00921E34"/>
    <w:rsid w:val="00934FC7"/>
    <w:rsid w:val="00942222"/>
    <w:rsid w:val="00952E8E"/>
    <w:rsid w:val="00971552"/>
    <w:rsid w:val="009C0E04"/>
    <w:rsid w:val="009C37DD"/>
    <w:rsid w:val="009D20FA"/>
    <w:rsid w:val="009E1F80"/>
    <w:rsid w:val="009E2579"/>
    <w:rsid w:val="009F412F"/>
    <w:rsid w:val="00A016ED"/>
    <w:rsid w:val="00A14BC1"/>
    <w:rsid w:val="00A218CC"/>
    <w:rsid w:val="00A220F5"/>
    <w:rsid w:val="00A329A1"/>
    <w:rsid w:val="00A36A14"/>
    <w:rsid w:val="00A43432"/>
    <w:rsid w:val="00A450D0"/>
    <w:rsid w:val="00A4738B"/>
    <w:rsid w:val="00A477C7"/>
    <w:rsid w:val="00A810A6"/>
    <w:rsid w:val="00A84B97"/>
    <w:rsid w:val="00A978CC"/>
    <w:rsid w:val="00AA042A"/>
    <w:rsid w:val="00AC4DAC"/>
    <w:rsid w:val="00AD60EB"/>
    <w:rsid w:val="00AE5423"/>
    <w:rsid w:val="00AF7B22"/>
    <w:rsid w:val="00B12C6F"/>
    <w:rsid w:val="00B21E76"/>
    <w:rsid w:val="00B23D82"/>
    <w:rsid w:val="00B36638"/>
    <w:rsid w:val="00B45E30"/>
    <w:rsid w:val="00B648B7"/>
    <w:rsid w:val="00BA3E76"/>
    <w:rsid w:val="00BA7139"/>
    <w:rsid w:val="00BB2900"/>
    <w:rsid w:val="00BB5DCD"/>
    <w:rsid w:val="00BD6A3B"/>
    <w:rsid w:val="00C02754"/>
    <w:rsid w:val="00C042F7"/>
    <w:rsid w:val="00C23E62"/>
    <w:rsid w:val="00C53210"/>
    <w:rsid w:val="00C77EF8"/>
    <w:rsid w:val="00C87974"/>
    <w:rsid w:val="00CB0BC3"/>
    <w:rsid w:val="00CB7DD0"/>
    <w:rsid w:val="00CC4489"/>
    <w:rsid w:val="00CE6A2D"/>
    <w:rsid w:val="00D0750B"/>
    <w:rsid w:val="00D14293"/>
    <w:rsid w:val="00D147D2"/>
    <w:rsid w:val="00D464DE"/>
    <w:rsid w:val="00D675E0"/>
    <w:rsid w:val="00D8598D"/>
    <w:rsid w:val="00DA3E4C"/>
    <w:rsid w:val="00DC38CE"/>
    <w:rsid w:val="00DE0A8A"/>
    <w:rsid w:val="00DE6FED"/>
    <w:rsid w:val="00DF1FF3"/>
    <w:rsid w:val="00DF3106"/>
    <w:rsid w:val="00DF4BB4"/>
    <w:rsid w:val="00E13AF2"/>
    <w:rsid w:val="00E355F2"/>
    <w:rsid w:val="00E6421A"/>
    <w:rsid w:val="00E653A2"/>
    <w:rsid w:val="00E70491"/>
    <w:rsid w:val="00E9556F"/>
    <w:rsid w:val="00EA7F37"/>
    <w:rsid w:val="00EC592E"/>
    <w:rsid w:val="00ED48F3"/>
    <w:rsid w:val="00EF14A0"/>
    <w:rsid w:val="00EF51E2"/>
    <w:rsid w:val="00F22F4D"/>
    <w:rsid w:val="00F35790"/>
    <w:rsid w:val="00F531E5"/>
    <w:rsid w:val="00FE311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14ACE0"/>
  <w15:docId w15:val="{B5C9689E-D94D-4B07-807C-C2D9A1CB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5D23"/>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
    <w:name w:val="[Normal]"/>
    <w:rsid w:val="00875D23"/>
    <w:pPr>
      <w:widowControl w:val="0"/>
      <w:autoSpaceDE w:val="0"/>
      <w:autoSpaceDN w:val="0"/>
      <w:adjustRightInd w:val="0"/>
      <w:spacing w:after="0" w:line="240" w:lineRule="auto"/>
    </w:pPr>
    <w:rPr>
      <w:rFonts w:ascii="Arial" w:hAnsi="Arial" w:cs="Arial"/>
      <w:sz w:val="24"/>
      <w:szCs w:val="24"/>
      <w:lang w:val="x-none"/>
    </w:rPr>
  </w:style>
  <w:style w:type="paragraph" w:styleId="Sprechblasentext">
    <w:name w:val="Balloon Text"/>
    <w:basedOn w:val="Standard"/>
    <w:link w:val="SprechblasentextZchn"/>
    <w:uiPriority w:val="99"/>
    <w:semiHidden/>
    <w:unhideWhenUsed/>
    <w:rsid w:val="00CE6A2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E6A2D"/>
    <w:rPr>
      <w:rFonts w:ascii="Times New Roman" w:hAnsi="Times New Roman" w:cs="Times New Roman"/>
      <w:sz w:val="18"/>
      <w:szCs w:val="18"/>
    </w:rPr>
  </w:style>
  <w:style w:type="paragraph" w:customStyle="1" w:styleId="Default">
    <w:name w:val="Default"/>
    <w:rsid w:val="004123A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4123AC"/>
    <w:rPr>
      <w:color w:val="0563C1" w:themeColor="hyperlink"/>
      <w:u w:val="single"/>
    </w:rPr>
  </w:style>
  <w:style w:type="character" w:styleId="Kommentarzeichen">
    <w:name w:val="annotation reference"/>
    <w:basedOn w:val="Absatz-Standardschriftart"/>
    <w:uiPriority w:val="99"/>
    <w:semiHidden/>
    <w:unhideWhenUsed/>
    <w:rsid w:val="004123AC"/>
    <w:rPr>
      <w:sz w:val="16"/>
      <w:szCs w:val="16"/>
    </w:rPr>
  </w:style>
  <w:style w:type="paragraph" w:styleId="Kommentartext">
    <w:name w:val="annotation text"/>
    <w:basedOn w:val="Standard"/>
    <w:link w:val="KommentartextZchn"/>
    <w:uiPriority w:val="99"/>
    <w:unhideWhenUsed/>
    <w:rsid w:val="004123AC"/>
    <w:rPr>
      <w:sz w:val="20"/>
      <w:szCs w:val="20"/>
    </w:rPr>
  </w:style>
  <w:style w:type="character" w:customStyle="1" w:styleId="KommentartextZchn">
    <w:name w:val="Kommentartext Zchn"/>
    <w:basedOn w:val="Absatz-Standardschriftart"/>
    <w:link w:val="Kommentartext"/>
    <w:uiPriority w:val="99"/>
    <w:rsid w:val="004123AC"/>
    <w:rPr>
      <w:rFonts w:ascii="Calibri" w:hAnsi="Calibri" w:cs="Calibri"/>
      <w:sz w:val="20"/>
      <w:szCs w:val="20"/>
    </w:rPr>
  </w:style>
  <w:style w:type="paragraph" w:styleId="Listenabsatz">
    <w:name w:val="List Paragraph"/>
    <w:basedOn w:val="Standard"/>
    <w:uiPriority w:val="34"/>
    <w:qFormat/>
    <w:rsid w:val="004123AC"/>
    <w:pPr>
      <w:spacing w:after="160" w:line="259" w:lineRule="auto"/>
      <w:ind w:left="720"/>
      <w:contextualSpacing/>
    </w:pPr>
    <w:rPr>
      <w:rFonts w:asciiTheme="minorHAnsi" w:hAnsiTheme="minorHAnsi" w:cstheme="minorBidi"/>
    </w:rPr>
  </w:style>
  <w:style w:type="paragraph" w:styleId="Kommentarthema">
    <w:name w:val="annotation subject"/>
    <w:basedOn w:val="Kommentartext"/>
    <w:next w:val="Kommentartext"/>
    <w:link w:val="KommentarthemaZchn"/>
    <w:uiPriority w:val="99"/>
    <w:semiHidden/>
    <w:unhideWhenUsed/>
    <w:rsid w:val="00593CAA"/>
    <w:rPr>
      <w:b/>
      <w:bCs/>
    </w:rPr>
  </w:style>
  <w:style w:type="character" w:customStyle="1" w:styleId="KommentarthemaZchn">
    <w:name w:val="Kommentarthema Zchn"/>
    <w:basedOn w:val="KommentartextZchn"/>
    <w:link w:val="Kommentarthema"/>
    <w:uiPriority w:val="99"/>
    <w:semiHidden/>
    <w:rsid w:val="00593CAA"/>
    <w:rPr>
      <w:rFonts w:ascii="Calibri" w:hAnsi="Calibri" w:cs="Calibri"/>
      <w:b/>
      <w:bCs/>
      <w:sz w:val="20"/>
      <w:szCs w:val="20"/>
    </w:rPr>
  </w:style>
  <w:style w:type="paragraph" w:styleId="StandardWeb">
    <w:name w:val="Normal (Web)"/>
    <w:basedOn w:val="Standard"/>
    <w:uiPriority w:val="99"/>
    <w:unhideWhenUsed/>
    <w:rsid w:val="009C37DD"/>
    <w:pPr>
      <w:spacing w:before="100" w:beforeAutospacing="1" w:after="100" w:afterAutospacing="1"/>
    </w:pPr>
    <w:rPr>
      <w:rFonts w:ascii="Times" w:hAnsi="Times" w:cs="Times New Roman"/>
      <w:sz w:val="20"/>
      <w:szCs w:val="20"/>
    </w:rPr>
  </w:style>
  <w:style w:type="character" w:customStyle="1" w:styleId="docsum-authors2">
    <w:name w:val="docsum-authors2"/>
    <w:basedOn w:val="Absatz-Standardschriftart"/>
    <w:rsid w:val="002D7220"/>
  </w:style>
  <w:style w:type="character" w:customStyle="1" w:styleId="docsum-journal-citation">
    <w:name w:val="docsum-journal-citation"/>
    <w:basedOn w:val="Absatz-Standardschriftart"/>
    <w:rsid w:val="002D7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07104">
      <w:bodyDiv w:val="1"/>
      <w:marLeft w:val="0"/>
      <w:marRight w:val="0"/>
      <w:marTop w:val="0"/>
      <w:marBottom w:val="0"/>
      <w:divBdr>
        <w:top w:val="none" w:sz="0" w:space="0" w:color="auto"/>
        <w:left w:val="none" w:sz="0" w:space="0" w:color="auto"/>
        <w:bottom w:val="none" w:sz="0" w:space="0" w:color="auto"/>
        <w:right w:val="none" w:sz="0" w:space="0" w:color="auto"/>
      </w:divBdr>
      <w:divsChild>
        <w:div w:id="1353068137">
          <w:marLeft w:val="0"/>
          <w:marRight w:val="0"/>
          <w:marTop w:val="0"/>
          <w:marBottom w:val="0"/>
          <w:divBdr>
            <w:top w:val="none" w:sz="0" w:space="0" w:color="auto"/>
            <w:left w:val="none" w:sz="0" w:space="0" w:color="auto"/>
            <w:bottom w:val="none" w:sz="0" w:space="0" w:color="auto"/>
            <w:right w:val="none" w:sz="0" w:space="0" w:color="auto"/>
          </w:divBdr>
          <w:divsChild>
            <w:div w:id="499271240">
              <w:marLeft w:val="0"/>
              <w:marRight w:val="0"/>
              <w:marTop w:val="0"/>
              <w:marBottom w:val="0"/>
              <w:divBdr>
                <w:top w:val="none" w:sz="0" w:space="0" w:color="auto"/>
                <w:left w:val="none" w:sz="0" w:space="0" w:color="auto"/>
                <w:bottom w:val="none" w:sz="0" w:space="0" w:color="auto"/>
                <w:right w:val="none" w:sz="0" w:space="0" w:color="auto"/>
              </w:divBdr>
              <w:divsChild>
                <w:div w:id="245386306">
                  <w:marLeft w:val="0"/>
                  <w:marRight w:val="0"/>
                  <w:marTop w:val="0"/>
                  <w:marBottom w:val="0"/>
                  <w:divBdr>
                    <w:top w:val="none" w:sz="0" w:space="0" w:color="auto"/>
                    <w:left w:val="none" w:sz="0" w:space="0" w:color="auto"/>
                    <w:bottom w:val="none" w:sz="0" w:space="0" w:color="auto"/>
                    <w:right w:val="none" w:sz="0" w:space="0" w:color="auto"/>
                  </w:divBdr>
                  <w:divsChild>
                    <w:div w:id="1711950647">
                      <w:marLeft w:val="0"/>
                      <w:marRight w:val="0"/>
                      <w:marTop w:val="0"/>
                      <w:marBottom w:val="0"/>
                      <w:divBdr>
                        <w:top w:val="none" w:sz="0" w:space="0" w:color="auto"/>
                        <w:left w:val="none" w:sz="0" w:space="0" w:color="auto"/>
                        <w:bottom w:val="none" w:sz="0" w:space="0" w:color="auto"/>
                        <w:right w:val="none" w:sz="0" w:space="0" w:color="auto"/>
                      </w:divBdr>
                      <w:divsChild>
                        <w:div w:id="1954628108">
                          <w:marLeft w:val="0"/>
                          <w:marRight w:val="0"/>
                          <w:marTop w:val="0"/>
                          <w:marBottom w:val="0"/>
                          <w:divBdr>
                            <w:top w:val="none" w:sz="0" w:space="0" w:color="auto"/>
                            <w:left w:val="none" w:sz="0" w:space="0" w:color="auto"/>
                            <w:bottom w:val="none" w:sz="0" w:space="0" w:color="auto"/>
                            <w:right w:val="none" w:sz="0" w:space="0" w:color="auto"/>
                          </w:divBdr>
                          <w:divsChild>
                            <w:div w:id="1813869729">
                              <w:marLeft w:val="0"/>
                              <w:marRight w:val="0"/>
                              <w:marTop w:val="0"/>
                              <w:marBottom w:val="0"/>
                              <w:divBdr>
                                <w:top w:val="none" w:sz="0" w:space="0" w:color="auto"/>
                                <w:left w:val="none" w:sz="0" w:space="0" w:color="auto"/>
                                <w:bottom w:val="none" w:sz="0" w:space="0" w:color="auto"/>
                                <w:right w:val="none" w:sz="0" w:space="0" w:color="auto"/>
                              </w:divBdr>
                              <w:divsChild>
                                <w:div w:id="35064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60309">
      <w:bodyDiv w:val="1"/>
      <w:marLeft w:val="0"/>
      <w:marRight w:val="0"/>
      <w:marTop w:val="0"/>
      <w:marBottom w:val="0"/>
      <w:divBdr>
        <w:top w:val="none" w:sz="0" w:space="0" w:color="auto"/>
        <w:left w:val="none" w:sz="0" w:space="0" w:color="auto"/>
        <w:bottom w:val="none" w:sz="0" w:space="0" w:color="auto"/>
        <w:right w:val="none" w:sz="0" w:space="0" w:color="auto"/>
      </w:divBdr>
    </w:div>
    <w:div w:id="1321999740">
      <w:bodyDiv w:val="1"/>
      <w:marLeft w:val="0"/>
      <w:marRight w:val="0"/>
      <w:marTop w:val="0"/>
      <w:marBottom w:val="0"/>
      <w:divBdr>
        <w:top w:val="none" w:sz="0" w:space="0" w:color="auto"/>
        <w:left w:val="none" w:sz="0" w:space="0" w:color="auto"/>
        <w:bottom w:val="none" w:sz="0" w:space="0" w:color="auto"/>
        <w:right w:val="none" w:sz="0" w:space="0" w:color="auto"/>
      </w:divBdr>
      <w:divsChild>
        <w:div w:id="1593582346">
          <w:marLeft w:val="0"/>
          <w:marRight w:val="0"/>
          <w:marTop w:val="0"/>
          <w:marBottom w:val="0"/>
          <w:divBdr>
            <w:top w:val="none" w:sz="0" w:space="0" w:color="auto"/>
            <w:left w:val="none" w:sz="0" w:space="0" w:color="auto"/>
            <w:bottom w:val="none" w:sz="0" w:space="0" w:color="auto"/>
            <w:right w:val="none" w:sz="0" w:space="0" w:color="auto"/>
          </w:divBdr>
          <w:divsChild>
            <w:div w:id="1818376182">
              <w:marLeft w:val="0"/>
              <w:marRight w:val="0"/>
              <w:marTop w:val="0"/>
              <w:marBottom w:val="0"/>
              <w:divBdr>
                <w:top w:val="none" w:sz="0" w:space="0" w:color="auto"/>
                <w:left w:val="none" w:sz="0" w:space="0" w:color="auto"/>
                <w:bottom w:val="none" w:sz="0" w:space="0" w:color="auto"/>
                <w:right w:val="none" w:sz="0" w:space="0" w:color="auto"/>
              </w:divBdr>
              <w:divsChild>
                <w:div w:id="1596356682">
                  <w:marLeft w:val="0"/>
                  <w:marRight w:val="0"/>
                  <w:marTop w:val="0"/>
                  <w:marBottom w:val="0"/>
                  <w:divBdr>
                    <w:top w:val="none" w:sz="0" w:space="0" w:color="auto"/>
                    <w:left w:val="none" w:sz="0" w:space="0" w:color="auto"/>
                    <w:bottom w:val="none" w:sz="0" w:space="0" w:color="auto"/>
                    <w:right w:val="none" w:sz="0" w:space="0" w:color="auto"/>
                  </w:divBdr>
                  <w:divsChild>
                    <w:div w:id="5576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85163">
      <w:bodyDiv w:val="1"/>
      <w:marLeft w:val="0"/>
      <w:marRight w:val="0"/>
      <w:marTop w:val="0"/>
      <w:marBottom w:val="0"/>
      <w:divBdr>
        <w:top w:val="none" w:sz="0" w:space="0" w:color="auto"/>
        <w:left w:val="none" w:sz="0" w:space="0" w:color="auto"/>
        <w:bottom w:val="none" w:sz="0" w:space="0" w:color="auto"/>
        <w:right w:val="none" w:sz="0" w:space="0" w:color="auto"/>
      </w:divBdr>
    </w:div>
    <w:div w:id="1635023331">
      <w:bodyDiv w:val="1"/>
      <w:marLeft w:val="0"/>
      <w:marRight w:val="0"/>
      <w:marTop w:val="0"/>
      <w:marBottom w:val="0"/>
      <w:divBdr>
        <w:top w:val="none" w:sz="0" w:space="0" w:color="auto"/>
        <w:left w:val="none" w:sz="0" w:space="0" w:color="auto"/>
        <w:bottom w:val="none" w:sz="0" w:space="0" w:color="auto"/>
        <w:right w:val="none" w:sz="0" w:space="0" w:color="auto"/>
      </w:divBdr>
    </w:div>
    <w:div w:id="1855992061">
      <w:bodyDiv w:val="1"/>
      <w:marLeft w:val="0"/>
      <w:marRight w:val="0"/>
      <w:marTop w:val="0"/>
      <w:marBottom w:val="0"/>
      <w:divBdr>
        <w:top w:val="none" w:sz="0" w:space="0" w:color="auto"/>
        <w:left w:val="none" w:sz="0" w:space="0" w:color="auto"/>
        <w:bottom w:val="none" w:sz="0" w:space="0" w:color="auto"/>
        <w:right w:val="none" w:sz="0" w:space="0" w:color="auto"/>
      </w:divBdr>
      <w:divsChild>
        <w:div w:id="407460476">
          <w:marLeft w:val="0"/>
          <w:marRight w:val="0"/>
          <w:marTop w:val="0"/>
          <w:marBottom w:val="0"/>
          <w:divBdr>
            <w:top w:val="none" w:sz="0" w:space="0" w:color="auto"/>
            <w:left w:val="none" w:sz="0" w:space="0" w:color="auto"/>
            <w:bottom w:val="none" w:sz="0" w:space="0" w:color="auto"/>
            <w:right w:val="none" w:sz="0" w:space="0" w:color="auto"/>
          </w:divBdr>
          <w:divsChild>
            <w:div w:id="1974749516">
              <w:marLeft w:val="0"/>
              <w:marRight w:val="0"/>
              <w:marTop w:val="0"/>
              <w:marBottom w:val="0"/>
              <w:divBdr>
                <w:top w:val="none" w:sz="0" w:space="0" w:color="auto"/>
                <w:left w:val="none" w:sz="0" w:space="0" w:color="auto"/>
                <w:bottom w:val="none" w:sz="0" w:space="0" w:color="auto"/>
                <w:right w:val="none" w:sz="0" w:space="0" w:color="auto"/>
              </w:divBdr>
              <w:divsChild>
                <w:div w:id="1292202542">
                  <w:marLeft w:val="0"/>
                  <w:marRight w:val="0"/>
                  <w:marTop w:val="0"/>
                  <w:marBottom w:val="0"/>
                  <w:divBdr>
                    <w:top w:val="none" w:sz="0" w:space="0" w:color="auto"/>
                    <w:left w:val="none" w:sz="0" w:space="0" w:color="auto"/>
                    <w:bottom w:val="none" w:sz="0" w:space="0" w:color="auto"/>
                    <w:right w:val="none" w:sz="0" w:space="0" w:color="auto"/>
                  </w:divBdr>
                  <w:divsChild>
                    <w:div w:id="1381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3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n.grau@uk-koeln.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eitlinienprogramm-onkologie.de/leitlinien/mammakarzino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300A8-89F8-4DBF-B94B-440DA497E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35273</Words>
  <Characters>222223</Characters>
  <Application>Microsoft Office Word</Application>
  <DocSecurity>0</DocSecurity>
  <Lines>1851</Lines>
  <Paragraphs>513</Paragraphs>
  <ScaleCrop>false</ScaleCrop>
  <HeadingPairs>
    <vt:vector size="2" baseType="variant">
      <vt:variant>
        <vt:lpstr>Titel</vt:lpstr>
      </vt:variant>
      <vt:variant>
        <vt:i4>1</vt:i4>
      </vt:variant>
    </vt:vector>
  </HeadingPairs>
  <TitlesOfParts>
    <vt:vector size="1" baseType="lpstr">
      <vt:lpstr/>
    </vt:vector>
  </TitlesOfParts>
  <Company>Universitätsklinikum Köln (AöR)</Company>
  <LinksUpToDate>false</LinksUpToDate>
  <CharactersWithSpaces>256983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Grau</dc:creator>
  <cp:keywords/>
  <dc:description/>
  <cp:lastModifiedBy>G.Wolf-Ganser@fz-juelich.de</cp:lastModifiedBy>
  <cp:revision>2</cp:revision>
  <cp:lastPrinted>2020-09-28T05:31:00Z</cp:lastPrinted>
  <dcterms:created xsi:type="dcterms:W3CDTF">2021-11-04T07:10:00Z</dcterms:created>
  <dcterms:modified xsi:type="dcterms:W3CDTF">2021-11-04T07:10:00Z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http://www.zotero.org/styles/deutsches-arzteblatt</vt:lpwstr>
  </property>
  <property fmtid="{D5CDD505-2E9C-101B-9397-08002B2CF9AE}" pid="3" name="Mendeley Recent Style Name 0_1">
    <vt:lpwstr>Deutsches Ärzteblatt</vt:lpwstr>
  </property>
  <property fmtid="{D5CDD505-2E9C-101B-9397-08002B2CF9AE}" pid="4" name="Mendeley Recent Style Id 1_1">
    <vt:lpwstr>http://www.zotero.org/styles/european-journal-of-cancer</vt:lpwstr>
  </property>
  <property fmtid="{D5CDD505-2E9C-101B-9397-08002B2CF9AE}" pid="5" name="Mendeley Recent Style Name 1_1">
    <vt:lpwstr>European Journal of Cancer</vt:lpwstr>
  </property>
  <property fmtid="{D5CDD505-2E9C-101B-9397-08002B2CF9AE}" pid="6" name="Mendeley Recent Style Id 2_1">
    <vt:lpwstr>http://www.zotero.org/styles/european-journal-of-emergency-medicine</vt:lpwstr>
  </property>
  <property fmtid="{D5CDD505-2E9C-101B-9397-08002B2CF9AE}" pid="7" name="Mendeley Recent Style Name 2_1">
    <vt:lpwstr>European Journal of Emergency Medicine</vt:lpwstr>
  </property>
  <property fmtid="{D5CDD505-2E9C-101B-9397-08002B2CF9AE}" pid="8" name="Mendeley Recent Style Id 3_1">
    <vt:lpwstr>http://www.zotero.org/styles/journal-of-geriatric-oncology</vt:lpwstr>
  </property>
  <property fmtid="{D5CDD505-2E9C-101B-9397-08002B2CF9AE}" pid="9" name="Mendeley Recent Style Name 3_1">
    <vt:lpwstr>Journal of Geriatric Oncology</vt:lpwstr>
  </property>
  <property fmtid="{D5CDD505-2E9C-101B-9397-08002B2CF9AE}" pid="10" name="Mendeley Recent Style Id 4_1">
    <vt:lpwstr>http://www.zotero.org/styles/journal-of-neurology-neurosurgery-and-psychiatry</vt:lpwstr>
  </property>
  <property fmtid="{D5CDD505-2E9C-101B-9397-08002B2CF9AE}" pid="11" name="Mendeley Recent Style Name 4_1">
    <vt:lpwstr>Journal of Neurology, Neurosurgery, and Psychiatry</vt:lpwstr>
  </property>
  <property fmtid="{D5CDD505-2E9C-101B-9397-08002B2CF9AE}" pid="12" name="Mendeley Recent Style Id 5_1">
    <vt:lpwstr>http://www.zotero.org/styles/journal-of-neurosurgery</vt:lpwstr>
  </property>
  <property fmtid="{D5CDD505-2E9C-101B-9397-08002B2CF9AE}" pid="13" name="Mendeley Recent Style Name 5_1">
    <vt:lpwstr>Journal of Neurosurgery</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http://www.zotero.org/styles/neuro-oncology</vt:lpwstr>
  </property>
  <property fmtid="{D5CDD505-2E9C-101B-9397-08002B2CF9AE}" pid="19" name="Mendeley Recent Style Name 8_1">
    <vt:lpwstr>Neuro-Oncology</vt:lpwstr>
  </property>
  <property fmtid="{D5CDD505-2E9C-101B-9397-08002B2CF9AE}" pid="20" name="Mendeley Recent Style Id 9_1">
    <vt:lpwstr>http://www.zotero.org/styles/world-neurosurgery</vt:lpwstr>
  </property>
  <property fmtid="{D5CDD505-2E9C-101B-9397-08002B2CF9AE}" pid="21" name="Mendeley Recent Style Name 9_1">
    <vt:lpwstr>World Neurosurgery</vt:lpwstr>
  </property>
  <property fmtid="{D5CDD505-2E9C-101B-9397-08002B2CF9AE}" pid="22" name="Mendeley Document_1">
    <vt:lpwstr>True</vt:lpwstr>
  </property>
  <property fmtid="{D5CDD505-2E9C-101B-9397-08002B2CF9AE}" pid="23" name="Mendeley Unique User Id_1">
    <vt:lpwstr>459bf025-a584-3556-a29d-5408011b2d46</vt:lpwstr>
  </property>
  <property fmtid="{D5CDD505-2E9C-101B-9397-08002B2CF9AE}" pid="24" name="Mendeley Citation Style_1">
    <vt:lpwstr>http://www.zotero.org/styles/neuro-oncology</vt:lpwstr>
  </property>
</Properties>
</file>